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48" w:rsidRDefault="00666C48" w:rsidP="00666C48">
      <w:pPr>
        <w:jc w:val="right"/>
        <w:rPr>
          <w:b/>
        </w:rPr>
      </w:pPr>
      <w:r w:rsidRPr="00A63418">
        <w:rPr>
          <w:b/>
        </w:rPr>
        <w:t xml:space="preserve">Groupe </w:t>
      </w:r>
      <w:r>
        <w:rPr>
          <w:b/>
        </w:rPr>
        <w:t>2</w:t>
      </w:r>
      <w:r w:rsidRPr="00A63418">
        <w:rPr>
          <w:b/>
        </w:rPr>
        <w:t xml:space="preserve"> – </w:t>
      </w:r>
      <w:r>
        <w:rPr>
          <w:b/>
        </w:rPr>
        <w:t>L</w:t>
      </w:r>
      <w:r>
        <w:rPr>
          <w:b/>
        </w:rPr>
        <w:t>es Harkis ou forces supplétives</w:t>
      </w:r>
    </w:p>
    <w:p w:rsidR="00666C48" w:rsidRDefault="00666C48" w:rsidP="00666C48">
      <w:pPr>
        <w:jc w:val="both"/>
        <w:rPr>
          <w:b/>
        </w:rPr>
      </w:pPr>
      <w:r w:rsidRPr="00E33753">
        <w:rPr>
          <w:b/>
          <w:u w:val="thick"/>
        </w:rPr>
        <w:t>Document 1</w:t>
      </w:r>
      <w:r>
        <w:rPr>
          <w:b/>
        </w:rPr>
        <w:t> : La parole des harkis enfin entendue</w:t>
      </w:r>
    </w:p>
    <w:p w:rsidR="00666C48" w:rsidRDefault="00666C48" w:rsidP="00840F87">
      <w:pPr>
        <w:spacing w:line="276" w:lineRule="auto"/>
        <w:jc w:val="both"/>
        <w:rPr>
          <w:b/>
        </w:rPr>
      </w:pPr>
      <w:r>
        <w:rPr>
          <w:sz w:val="22"/>
          <w:szCs w:val="22"/>
        </w:rPr>
        <w:t>« </w:t>
      </w:r>
      <w:r>
        <w:rPr>
          <w:sz w:val="22"/>
          <w:szCs w:val="22"/>
        </w:rPr>
        <w:t xml:space="preserve">La République a manqué à son devoir de protection envers ceux qui lui avaient fait confiance » a déclaré la secrétaire d’État auprès de la ministre française des Armées. Ce nouveau « plan harkis » comprend le déblocage d’une enveloppe de 40 millions d’euros sur 4 ans, destinée à revaloriser les pensions des anciens combattants et à venir en aide à ceux de leurs enfants qui vivent dans la précarité. (…) Sur les quelque 150.000 Algériens recrutés par l’armée française comme auxiliaires durant la guerre, environ 60.000 sont parvenus à partir pour la métropole. Mais leur accueil s’est fait dans des conditions précaires (…) les autres -entre 55.000 et 75.000 selon les historiens – </w:t>
      </w:r>
      <w:r>
        <w:rPr>
          <w:sz w:val="22"/>
          <w:szCs w:val="22"/>
        </w:rPr>
        <w:t xml:space="preserve">ont été </w:t>
      </w:r>
      <w:r>
        <w:rPr>
          <w:sz w:val="22"/>
          <w:szCs w:val="22"/>
        </w:rPr>
        <w:t>livrés à leur sort en Algérie et considérés comme des traitres par le nouveau régime, victimes de sanglantes représailles. »   AFP – 25/09/2018</w:t>
      </w:r>
    </w:p>
    <w:p w:rsidR="00840F87" w:rsidRDefault="00840F87" w:rsidP="00840F87">
      <w:pPr>
        <w:spacing w:line="276" w:lineRule="auto"/>
        <w:jc w:val="both"/>
        <w:rPr>
          <w:b/>
        </w:rPr>
      </w:pPr>
    </w:p>
    <w:p w:rsidR="003F614D" w:rsidRPr="003F614D" w:rsidRDefault="00666C48" w:rsidP="003F614D">
      <w:pPr>
        <w:rPr>
          <w:b/>
          <w:bCs/>
        </w:rPr>
      </w:pPr>
      <w:r w:rsidRPr="00666C48">
        <w:rPr>
          <w:b/>
          <w:bCs/>
          <w:u w:val="thick"/>
        </w:rPr>
        <w:t>Document 2</w:t>
      </w:r>
      <w:r>
        <w:rPr>
          <w:b/>
          <w:bCs/>
        </w:rPr>
        <w:t xml:space="preserve"> : L’histoire tragique des harkis </w:t>
      </w:r>
      <w:r w:rsidR="003F614D">
        <w:rPr>
          <w:b/>
          <w:bCs/>
        </w:rPr>
        <w:t>-</w:t>
      </w:r>
      <w:r w:rsidR="001A4AF6">
        <w:rPr>
          <w:b/>
          <w:bCs/>
        </w:rPr>
        <w:t xml:space="preserve">  </w:t>
      </w:r>
      <w:r w:rsidR="003F614D">
        <w:rPr>
          <w:b/>
          <w:bCs/>
        </w:rPr>
        <w:fldChar w:fldCharType="begin"/>
      </w:r>
      <w:r w:rsidR="003F614D">
        <w:rPr>
          <w:b/>
          <w:bCs/>
        </w:rPr>
        <w:instrText xml:space="preserve"> HYPERLINK "</w:instrText>
      </w:r>
      <w:r w:rsidR="003F614D" w:rsidRPr="00666C48">
        <w:rPr>
          <w:b/>
          <w:bCs/>
        </w:rPr>
        <w:instrText>https://www.youtube.com/watch?v=NChWNdbeXuc</w:instrText>
      </w:r>
      <w:r w:rsidR="003F614D">
        <w:rPr>
          <w:b/>
          <w:bCs/>
        </w:rPr>
        <w:instrText xml:space="preserve">" </w:instrText>
      </w:r>
      <w:r w:rsidR="003F614D">
        <w:rPr>
          <w:b/>
          <w:bCs/>
        </w:rPr>
        <w:fldChar w:fldCharType="separate"/>
      </w:r>
      <w:r w:rsidR="003F614D" w:rsidRPr="00666C48">
        <w:rPr>
          <w:rStyle w:val="Lienhypertexte"/>
          <w:b/>
          <w:bCs/>
        </w:rPr>
        <w:t>https://www.youtube.com/watch?v=NChWNdbeXuc</w:t>
      </w:r>
      <w:r w:rsidR="003F614D">
        <w:rPr>
          <w:b/>
          <w:bCs/>
        </w:rPr>
        <w:fldChar w:fldCharType="end"/>
      </w:r>
      <w:r w:rsidR="003F614D">
        <w:rPr>
          <w:b/>
          <w:bCs/>
        </w:rPr>
        <w:t xml:space="preserve"> + </w:t>
      </w:r>
      <w:hyperlink r:id="rId4" w:history="1">
        <w:r w:rsidR="003F614D" w:rsidRPr="003F614D">
          <w:rPr>
            <w:rStyle w:val="Lienhypertexte"/>
            <w:b/>
            <w:bCs/>
          </w:rPr>
          <w:t>https://www.youtube.com/watch?v=C5aoOKzcyLc</w:t>
        </w:r>
      </w:hyperlink>
    </w:p>
    <w:p w:rsidR="00666C48" w:rsidRDefault="00666C48" w:rsidP="00666C48">
      <w:pPr>
        <w:jc w:val="both"/>
        <w:rPr>
          <w:b/>
          <w:bCs/>
        </w:rPr>
      </w:pPr>
    </w:p>
    <w:p w:rsidR="00666C48" w:rsidRDefault="00666C48" w:rsidP="00666C48">
      <w:pPr>
        <w:jc w:val="both"/>
        <w:rPr>
          <w:b/>
          <w:bCs/>
        </w:rPr>
      </w:pPr>
      <w:r w:rsidRPr="007E0006">
        <w:rPr>
          <w:b/>
          <w:bCs/>
          <w:u w:val="thick"/>
        </w:rPr>
        <w:t>Document 3</w:t>
      </w:r>
      <w:r>
        <w:rPr>
          <w:b/>
          <w:bCs/>
        </w:rPr>
        <w:t xml:space="preserve"> : </w:t>
      </w:r>
      <w:r w:rsidR="007E0006">
        <w:rPr>
          <w:b/>
          <w:bCs/>
        </w:rPr>
        <w:t>L’accueil des Harkis en 1962 vu par le Général de Gaulle</w:t>
      </w:r>
    </w:p>
    <w:p w:rsidR="007E0006" w:rsidRDefault="007E0006" w:rsidP="00666C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 On ne peut pas accepter de replier tous les musulmans qui viennent à déclarer qu’ils ne s’entendront pas avec leur gouvernement ! Le terme de rapatriés ne s’applique évidemment pas aux musulmans : ils ne retournent pas dans la terre de leurs pères ! Dans leur cas, il ne saurait s’agir que de réfugiés ! Mais on ne peut les recevoir en France comme tels, que s’ils couraient des dangers. » </w:t>
      </w:r>
    </w:p>
    <w:p w:rsidR="007E0006" w:rsidRPr="00666C48" w:rsidRDefault="007E0006" w:rsidP="00666C48">
      <w:pPr>
        <w:jc w:val="both"/>
        <w:rPr>
          <w:sz w:val="22"/>
          <w:szCs w:val="22"/>
        </w:rPr>
      </w:pPr>
    </w:p>
    <w:p w:rsidR="007E0006" w:rsidRDefault="007E0006" w:rsidP="00666C48">
      <w:pPr>
        <w:jc w:val="both"/>
        <w:rPr>
          <w:b/>
          <w:bCs/>
        </w:rPr>
      </w:pPr>
      <w:r w:rsidRPr="007E0006">
        <w:rPr>
          <w:b/>
          <w:bCs/>
          <w:u w:val="thick"/>
        </w:rPr>
        <w:t xml:space="preserve">Document </w:t>
      </w:r>
      <w:r>
        <w:rPr>
          <w:b/>
          <w:bCs/>
          <w:u w:val="thick"/>
        </w:rPr>
        <w:t>4</w:t>
      </w:r>
      <w:r w:rsidR="00DB7BAC">
        <w:rPr>
          <w:b/>
          <w:bCs/>
          <w:u w:val="thick"/>
        </w:rPr>
        <w:t> :</w:t>
      </w:r>
      <w:r w:rsidR="00DB7BAC">
        <w:rPr>
          <w:b/>
          <w:bCs/>
        </w:rPr>
        <w:t xml:space="preserve"> </w:t>
      </w:r>
      <w:r w:rsidR="003F614D">
        <w:rPr>
          <w:b/>
          <w:bCs/>
        </w:rPr>
        <w:t xml:space="preserve">La responsabilité </w:t>
      </w:r>
      <w:r w:rsidR="000138C5">
        <w:rPr>
          <w:b/>
          <w:bCs/>
        </w:rPr>
        <w:t xml:space="preserve">de la tragédie des Harkis du point de vue de l’historien </w:t>
      </w:r>
    </w:p>
    <w:p w:rsidR="003F614D" w:rsidRDefault="00E16E0A" w:rsidP="00A95EE5">
      <w:pPr>
        <w:spacing w:line="276" w:lineRule="auto"/>
        <w:jc w:val="both"/>
        <w:rPr>
          <w:rFonts w:eastAsia="Times New Roman" w:cstheme="minorHAnsi"/>
          <w:sz w:val="22"/>
          <w:szCs w:val="22"/>
          <w:lang w:eastAsia="fr-FR"/>
        </w:rPr>
      </w:pPr>
      <w:r w:rsidRPr="000138C5">
        <w:rPr>
          <w:rFonts w:eastAsia="Times New Roman" w:cstheme="minorHAnsi"/>
          <w:sz w:val="22"/>
          <w:szCs w:val="22"/>
          <w:lang w:eastAsia="fr-FR"/>
        </w:rPr>
        <w:t>« </w:t>
      </w:r>
      <w:r w:rsidRPr="00E16E0A">
        <w:rPr>
          <w:rFonts w:eastAsia="Times New Roman" w:cstheme="minorHAnsi"/>
          <w:sz w:val="22"/>
          <w:szCs w:val="22"/>
          <w:lang w:eastAsia="fr-FR"/>
        </w:rPr>
        <w:t>La France les avait recrutés massivement, jusqu'en 1960, pour tenir l'Algérie et pour démontrer la faible représentativité du FLN.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Il était proposé aux supplétifs musulmans 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(…) </w:t>
      </w:r>
      <w:r w:rsidRPr="000138C5">
        <w:rPr>
          <w:rFonts w:eastAsia="Times New Roman" w:cstheme="minorHAnsi"/>
          <w:sz w:val="22"/>
          <w:szCs w:val="22"/>
          <w:lang w:eastAsia="fr-FR"/>
        </w:rPr>
        <w:t>selon leur statut, la démobilisation avec un pécule, l'engagement dans la force locale ou dans l'armée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. 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Ces décisions furent précisées </w:t>
      </w:r>
      <w:r w:rsidRPr="000138C5">
        <w:rPr>
          <w:rFonts w:eastAsia="Times New Roman" w:cstheme="minorHAnsi"/>
          <w:sz w:val="22"/>
          <w:szCs w:val="22"/>
          <w:lang w:eastAsia="fr-FR"/>
        </w:rPr>
        <w:t>(…)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 deux jours après la signature des accords d'Évian.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Avant même le cessez-le-feu du 19 mars 1962, 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la 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propagande 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du FLN 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adressée aux supplétifs musulmans combinait des promesses de pardon pour ceux qui déserteraient ou aideraient secrètement l'ALN, et des menaces de mort pour les « traîtres » obstinés. Après le cessez-le-feu, les supplétifs licenciés furent invités à 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 xml:space="preserve">se </w:t>
      </w:r>
      <w:r w:rsidRPr="000138C5">
        <w:rPr>
          <w:rFonts w:eastAsia="Times New Roman" w:cstheme="minorHAnsi"/>
          <w:sz w:val="22"/>
          <w:szCs w:val="22"/>
          <w:lang w:eastAsia="fr-FR"/>
        </w:rPr>
        <w:t>racheter en versant leurs primes ou pécules. Sous ces conditions, ils s'entendirent promettre un généreux pardon.</w:t>
      </w:r>
      <w:r w:rsidRPr="000138C5">
        <w:rPr>
          <w:rFonts w:eastAsia="Times New Roman" w:cstheme="minorHAnsi"/>
          <w:sz w:val="22"/>
          <w:szCs w:val="22"/>
          <w:lang w:eastAsia="fr-FR"/>
        </w:rPr>
        <w:t xml:space="preserve"> Mais 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>ce n'était qu'un expédient provisoire, destiné à endormir la méfiance des harkis et à les dissuader de quitter le pays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 xml:space="preserve">. 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>Il y eut très tôt des enlèvements et des meurtres de harkis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 xml:space="preserve">. 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>A partir du 3 juillet, la reconnaissance de l'indépendance de l'Algérie par la France ouvrit la voie aux règlements de comptes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 xml:space="preserve">. 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>Tous les concurrents dans la course au pouvoir avaient besoin de prouver leur patriotisme en se montrant impitoyables envers les harkis ou en s'abstenant de les protéger.</w:t>
      </w:r>
      <w:r w:rsidR="003F614D" w:rsidRPr="000138C5">
        <w:rPr>
          <w:rFonts w:eastAsia="Times New Roman" w:cstheme="minorHAnsi"/>
          <w:sz w:val="22"/>
          <w:szCs w:val="22"/>
          <w:lang w:eastAsia="fr-FR"/>
        </w:rPr>
        <w:t> </w:t>
      </w:r>
      <w:r w:rsidR="000138C5" w:rsidRPr="000138C5">
        <w:rPr>
          <w:rFonts w:eastAsia="Times New Roman" w:cstheme="minorHAnsi"/>
          <w:sz w:val="22"/>
          <w:szCs w:val="22"/>
          <w:lang w:eastAsia="fr-FR"/>
        </w:rPr>
        <w:t>(…) Le gouvernement français voulait croire que le FLN appliquerait les Accords d’Évian. Mais surtout, de Gaulle ne voulait pas reprendre</w:t>
      </w:r>
      <w:r w:rsidR="000138C5" w:rsidRPr="000138C5">
        <w:rPr>
          <w:rFonts w:eastAsia="Times New Roman" w:cstheme="minorHAnsi"/>
          <w:sz w:val="22"/>
          <w:szCs w:val="22"/>
          <w:lang w:eastAsia="fr-FR"/>
        </w:rPr>
        <w:t xml:space="preserve"> les hostilités contre l'Algérie</w:t>
      </w:r>
      <w:r w:rsidR="000138C5">
        <w:rPr>
          <w:rFonts w:eastAsia="Times New Roman" w:cstheme="minorHAnsi"/>
          <w:sz w:val="22"/>
          <w:szCs w:val="22"/>
          <w:lang w:eastAsia="fr-FR"/>
        </w:rPr>
        <w:t xml:space="preserve"> (…) et </w:t>
      </w:r>
      <w:r w:rsidR="000138C5" w:rsidRPr="000138C5">
        <w:rPr>
          <w:rFonts w:eastAsia="Times New Roman" w:cstheme="minorHAnsi"/>
          <w:sz w:val="22"/>
          <w:szCs w:val="22"/>
          <w:lang w:eastAsia="fr-FR"/>
        </w:rPr>
        <w:t xml:space="preserve">ne considérait pas les harkis comme de vrais Français. </w:t>
      </w:r>
      <w:r w:rsidR="003F614D">
        <w:rPr>
          <w:rFonts w:eastAsia="Times New Roman" w:cstheme="minorHAnsi"/>
          <w:sz w:val="22"/>
          <w:szCs w:val="22"/>
          <w:lang w:eastAsia="fr-FR"/>
        </w:rPr>
        <w:t xml:space="preserve">»  </w:t>
      </w:r>
    </w:p>
    <w:p w:rsidR="003F614D" w:rsidRPr="003F614D" w:rsidRDefault="003F614D" w:rsidP="003F614D">
      <w:pPr>
        <w:jc w:val="right"/>
        <w:rPr>
          <w:rFonts w:eastAsia="Times New Roman" w:cstheme="minorHAnsi"/>
          <w:i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 xml:space="preserve">Guy </w:t>
      </w:r>
      <w:proofErr w:type="spellStart"/>
      <w:r>
        <w:rPr>
          <w:rFonts w:eastAsia="Times New Roman" w:cstheme="minorHAnsi"/>
          <w:sz w:val="22"/>
          <w:szCs w:val="22"/>
          <w:lang w:eastAsia="fr-FR"/>
        </w:rPr>
        <w:t>Pervillé</w:t>
      </w:r>
      <w:proofErr w:type="spellEnd"/>
      <w:r>
        <w:rPr>
          <w:rFonts w:eastAsia="Times New Roman" w:cstheme="minorHAnsi"/>
          <w:sz w:val="22"/>
          <w:szCs w:val="22"/>
          <w:lang w:eastAsia="fr-FR"/>
        </w:rPr>
        <w:t xml:space="preserve">, </w:t>
      </w:r>
      <w:r>
        <w:rPr>
          <w:rFonts w:eastAsia="Times New Roman" w:cstheme="minorHAnsi"/>
          <w:i/>
          <w:sz w:val="22"/>
          <w:szCs w:val="22"/>
          <w:lang w:eastAsia="fr-FR"/>
        </w:rPr>
        <w:t xml:space="preserve">la tragédie des harkis, qui est </w:t>
      </w:r>
      <w:proofErr w:type="gramStart"/>
      <w:r>
        <w:rPr>
          <w:rFonts w:eastAsia="Times New Roman" w:cstheme="minorHAnsi"/>
          <w:i/>
          <w:sz w:val="22"/>
          <w:szCs w:val="22"/>
          <w:lang w:eastAsia="fr-FR"/>
        </w:rPr>
        <w:t>responsable ?,</w:t>
      </w:r>
      <w:proofErr w:type="gramEnd"/>
      <w:r>
        <w:rPr>
          <w:rFonts w:eastAsia="Times New Roman" w:cstheme="minorHAnsi"/>
          <w:sz w:val="22"/>
          <w:szCs w:val="22"/>
          <w:lang w:eastAsia="fr-FR"/>
        </w:rPr>
        <w:t xml:space="preserve"> L’Histoire, Mai 2002. </w:t>
      </w:r>
      <w:r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</w:p>
    <w:p w:rsidR="00E16E0A" w:rsidRPr="00DB7BAC" w:rsidRDefault="00E16E0A" w:rsidP="00666C48">
      <w:pPr>
        <w:jc w:val="both"/>
        <w:rPr>
          <w:b/>
          <w:bCs/>
        </w:rPr>
      </w:pPr>
    </w:p>
    <w:p w:rsidR="007E0006" w:rsidRDefault="007E0006" w:rsidP="00666C48">
      <w:pPr>
        <w:jc w:val="both"/>
        <w:rPr>
          <w:b/>
          <w:bCs/>
          <w:u w:val="thick"/>
        </w:rPr>
      </w:pPr>
      <w:r>
        <w:rPr>
          <w:b/>
          <w:bCs/>
          <w:u w:val="thick"/>
        </w:rPr>
        <w:t>Document 5</w:t>
      </w:r>
      <w:r w:rsidR="00A95EE5">
        <w:rPr>
          <w:b/>
          <w:bCs/>
          <w:u w:val="thick"/>
        </w:rPr>
        <w:t xml:space="preserve"> : </w:t>
      </w:r>
      <w:r w:rsidR="00A95EE5" w:rsidRPr="00A95EE5">
        <w:rPr>
          <w:b/>
          <w:bCs/>
        </w:rPr>
        <w:t>les Harkis, les oubliés de l’Algérie</w:t>
      </w:r>
    </w:p>
    <w:p w:rsidR="00CA52D6" w:rsidRPr="00840F87" w:rsidRDefault="00A95EE5" w:rsidP="00A95EE5">
      <w:pPr>
        <w:spacing w:line="276" w:lineRule="auto"/>
        <w:jc w:val="both"/>
        <w:rPr>
          <w:rFonts w:eastAsia="Times New Roman" w:cstheme="minorHAnsi"/>
          <w:i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« </w:t>
      </w:r>
      <w:r w:rsidR="00F25135" w:rsidRPr="00F25135">
        <w:rPr>
          <w:rFonts w:eastAsia="Times New Roman" w:cstheme="minorHAnsi"/>
          <w:sz w:val="22"/>
          <w:szCs w:val="22"/>
          <w:lang w:eastAsia="fr-FR"/>
        </w:rPr>
        <w:t>Combien ont péri ? On ne le sait même pas avec exactitude. Associations de harkis et de rapatriés donnent le chiffre de 100 000 victimes de massacres prémédités. L'historien Benjamin Stora avance une fourchette de 10 000 à 25 000 morts.</w:t>
      </w:r>
      <w:r w:rsidR="00CA52D6" w:rsidRPr="00A95EE5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24553B">
        <w:rPr>
          <w:rFonts w:eastAsia="Times New Roman" w:cstheme="minorHAnsi"/>
          <w:sz w:val="22"/>
          <w:szCs w:val="22"/>
          <w:lang w:eastAsia="fr-FR"/>
        </w:rPr>
        <w:t>« </w:t>
      </w:r>
      <w:r w:rsidR="00F25135" w:rsidRPr="00F25135">
        <w:rPr>
          <w:rFonts w:eastAsia="Times New Roman" w:cstheme="minorHAnsi"/>
          <w:i/>
          <w:iCs/>
          <w:sz w:val="22"/>
          <w:szCs w:val="22"/>
          <w:lang w:eastAsia="fr-FR"/>
        </w:rPr>
        <w:t xml:space="preserve">De supplétifs de l'armée française pendant la guerre d'Algérie, les harkis sont devenus </w:t>
      </w:r>
      <w:r w:rsidR="00A043DA" w:rsidRPr="00F25135">
        <w:rPr>
          <w:rFonts w:eastAsia="Times New Roman" w:cstheme="minorHAnsi"/>
          <w:i/>
          <w:iCs/>
          <w:sz w:val="22"/>
          <w:szCs w:val="22"/>
          <w:lang w:eastAsia="fr-FR"/>
        </w:rPr>
        <w:t>les sans-grades</w:t>
      </w:r>
      <w:r w:rsidR="00F25135" w:rsidRPr="00F25135">
        <w:rPr>
          <w:rFonts w:eastAsia="Times New Roman" w:cstheme="minorHAnsi"/>
          <w:i/>
          <w:iCs/>
          <w:sz w:val="22"/>
          <w:szCs w:val="22"/>
          <w:lang w:eastAsia="fr-FR"/>
        </w:rPr>
        <w:t xml:space="preserve"> de la mémoire nationale"</w:t>
      </w:r>
      <w:r w:rsidR="00F25135" w:rsidRPr="00F25135">
        <w:rPr>
          <w:rFonts w:eastAsia="Times New Roman" w:cstheme="minorHAnsi"/>
          <w:sz w:val="22"/>
          <w:szCs w:val="22"/>
          <w:lang w:eastAsia="fr-FR"/>
        </w:rPr>
        <w:t xml:space="preserve">, explique Benoît </w:t>
      </w:r>
      <w:proofErr w:type="spellStart"/>
      <w:r w:rsidR="00F25135" w:rsidRPr="00F25135">
        <w:rPr>
          <w:rFonts w:eastAsia="Times New Roman" w:cstheme="minorHAnsi"/>
          <w:sz w:val="22"/>
          <w:szCs w:val="22"/>
          <w:lang w:eastAsia="fr-FR"/>
        </w:rPr>
        <w:t>Falaize</w:t>
      </w:r>
      <w:proofErr w:type="spellEnd"/>
      <w:r w:rsidR="00F25135" w:rsidRPr="00F25135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24553B">
        <w:rPr>
          <w:rFonts w:eastAsia="Times New Roman" w:cstheme="minorHAnsi"/>
          <w:sz w:val="22"/>
          <w:szCs w:val="22"/>
          <w:lang w:eastAsia="fr-FR"/>
        </w:rPr>
        <w:t xml:space="preserve">(historien) </w:t>
      </w:r>
      <w:r w:rsidR="00F25135" w:rsidRPr="00F25135">
        <w:rPr>
          <w:rFonts w:eastAsia="Times New Roman" w:cstheme="minorHAnsi"/>
          <w:sz w:val="22"/>
          <w:szCs w:val="22"/>
          <w:lang w:eastAsia="fr-FR"/>
        </w:rPr>
        <w:t>qui</w:t>
      </w:r>
      <w:r w:rsidR="0024553B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F25135" w:rsidRPr="00F25135">
        <w:rPr>
          <w:rFonts w:eastAsia="Times New Roman" w:cstheme="minorHAnsi"/>
          <w:sz w:val="22"/>
          <w:szCs w:val="22"/>
          <w:lang w:eastAsia="fr-FR"/>
        </w:rPr>
        <w:t>parle de "</w:t>
      </w:r>
      <w:r w:rsidR="00F25135" w:rsidRPr="00F25135">
        <w:rPr>
          <w:rFonts w:eastAsia="Times New Roman" w:cstheme="minorHAnsi"/>
          <w:i/>
          <w:iCs/>
          <w:sz w:val="22"/>
          <w:szCs w:val="22"/>
          <w:lang w:eastAsia="fr-FR"/>
        </w:rPr>
        <w:t xml:space="preserve"> ceux dont on voudrait ne pas parler"</w:t>
      </w:r>
      <w:r w:rsidR="00F25135" w:rsidRPr="00F25135">
        <w:rPr>
          <w:rFonts w:eastAsia="Times New Roman" w:cstheme="minorHAnsi"/>
          <w:sz w:val="22"/>
          <w:szCs w:val="22"/>
          <w:lang w:eastAsia="fr-FR"/>
        </w:rPr>
        <w:t xml:space="preserve"> et pour cause : l'ex-puissance coloniale nourrit la doubl</w:t>
      </w:r>
      <w:bookmarkStart w:id="0" w:name="_GoBack"/>
      <w:bookmarkEnd w:id="0"/>
      <w:r w:rsidR="00F25135" w:rsidRPr="00F25135">
        <w:rPr>
          <w:rFonts w:eastAsia="Times New Roman" w:cstheme="minorHAnsi"/>
          <w:sz w:val="22"/>
          <w:szCs w:val="22"/>
          <w:lang w:eastAsia="fr-FR"/>
        </w:rPr>
        <w:t>e culpabilité d'en avoir laissé assassiner une bonne part et d'avoir accueilli les autres dans des camps, comme des citoyens de seconde zone placés littéralement sous tutelle.</w:t>
      </w:r>
      <w:r w:rsidR="00CA52D6" w:rsidRPr="00A95EE5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CA52D6" w:rsidRPr="00A95EE5">
        <w:rPr>
          <w:rFonts w:eastAsia="Times New Roman" w:cstheme="minorHAnsi"/>
          <w:sz w:val="22"/>
          <w:szCs w:val="22"/>
          <w:lang w:eastAsia="fr-FR"/>
        </w:rPr>
        <w:t>Pour les Algériens, les harkis restent des traîtres, des collaborateurs contre lesquels se cimente l'histoire officielle. Rien de surprenant à ce que ces figures maudites de l'histoire se trouvent absentes des programmes.</w:t>
      </w:r>
      <w:r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CA52D6" w:rsidRPr="00CA52D6">
        <w:rPr>
          <w:rFonts w:eastAsia="Times New Roman" w:cstheme="minorHAnsi"/>
          <w:sz w:val="22"/>
          <w:szCs w:val="22"/>
          <w:lang w:eastAsia="fr-FR"/>
        </w:rPr>
        <w:t>Les harkis sont emblématiques de cette concurrence mémorielle : pour certains, ils ont fait le bon choix, pour beaucoup, ils sont des victimes, pour d'autres</w:t>
      </w:r>
      <w:r w:rsidRPr="00A95EE5">
        <w:rPr>
          <w:rFonts w:eastAsia="Times New Roman" w:cstheme="minorHAnsi"/>
          <w:sz w:val="22"/>
          <w:szCs w:val="22"/>
          <w:lang w:eastAsia="fr-FR"/>
        </w:rPr>
        <w:t xml:space="preserve">, </w:t>
      </w:r>
      <w:r w:rsidR="00CA52D6" w:rsidRPr="00CA52D6">
        <w:rPr>
          <w:rFonts w:eastAsia="Times New Roman" w:cstheme="minorHAnsi"/>
          <w:sz w:val="22"/>
          <w:szCs w:val="22"/>
          <w:lang w:eastAsia="fr-FR"/>
        </w:rPr>
        <w:t>ils demeurent des "collabos".</w:t>
      </w:r>
      <w:r>
        <w:rPr>
          <w:rFonts w:eastAsia="Times New Roman" w:cstheme="minorHAnsi"/>
          <w:sz w:val="22"/>
          <w:szCs w:val="22"/>
          <w:lang w:eastAsia="fr-FR"/>
        </w:rPr>
        <w:t> »</w:t>
      </w:r>
      <w:r w:rsidR="00840F87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840F87">
        <w:rPr>
          <w:rFonts w:eastAsia="Times New Roman" w:cstheme="minorHAnsi"/>
          <w:i/>
          <w:sz w:val="22"/>
          <w:szCs w:val="22"/>
          <w:lang w:eastAsia="fr-FR"/>
        </w:rPr>
        <w:t>Le Monde, 16/10/2010</w:t>
      </w:r>
    </w:p>
    <w:p w:rsidR="00A95EE5" w:rsidRDefault="00A95EE5" w:rsidP="00A95EE5">
      <w:pPr>
        <w:jc w:val="both"/>
        <w:rPr>
          <w:rFonts w:eastAsia="Times New Roman" w:cstheme="minorHAnsi"/>
          <w:sz w:val="22"/>
          <w:szCs w:val="22"/>
          <w:lang w:eastAsia="fr-FR"/>
        </w:rPr>
      </w:pPr>
    </w:p>
    <w:p w:rsidR="00666C48" w:rsidRPr="00DB7BAC" w:rsidRDefault="007E0006" w:rsidP="00666C48">
      <w:pPr>
        <w:jc w:val="both"/>
        <w:rPr>
          <w:b/>
        </w:rPr>
      </w:pPr>
      <w:r>
        <w:rPr>
          <w:b/>
          <w:bCs/>
          <w:u w:val="thick"/>
        </w:rPr>
        <w:t xml:space="preserve">Document 6 : </w:t>
      </w:r>
      <w:r w:rsidR="00DB7BAC">
        <w:rPr>
          <w:b/>
          <w:bCs/>
        </w:rPr>
        <w:t>Photos de revendications et de manifestations de Harkis (voir au tableau)</w:t>
      </w:r>
    </w:p>
    <w:sectPr w:rsidR="00666C48" w:rsidRPr="00DB7BAC" w:rsidSect="00666C48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48"/>
    <w:rsid w:val="000138C5"/>
    <w:rsid w:val="001A4AF6"/>
    <w:rsid w:val="0024553B"/>
    <w:rsid w:val="003F614D"/>
    <w:rsid w:val="00666C48"/>
    <w:rsid w:val="007E0006"/>
    <w:rsid w:val="00840F87"/>
    <w:rsid w:val="00A043DA"/>
    <w:rsid w:val="00A95EE5"/>
    <w:rsid w:val="00C23660"/>
    <w:rsid w:val="00CA52D6"/>
    <w:rsid w:val="00DB7BAC"/>
    <w:rsid w:val="00DD02E1"/>
    <w:rsid w:val="00E16E0A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2946C"/>
  <w15:chartTrackingRefBased/>
  <w15:docId w15:val="{F2B4CCEF-074D-9742-9935-D387C05F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4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6C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6C4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F614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61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F251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5aoOKzcyL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Byrdy</dc:creator>
  <cp:keywords/>
  <dc:description/>
  <cp:lastModifiedBy>Emmanuelle Byrdy</cp:lastModifiedBy>
  <cp:revision>4</cp:revision>
  <dcterms:created xsi:type="dcterms:W3CDTF">2021-03-04T15:58:00Z</dcterms:created>
  <dcterms:modified xsi:type="dcterms:W3CDTF">2021-03-04T18:37:00Z</dcterms:modified>
</cp:coreProperties>
</file>