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1CB38" w14:textId="77777777" w:rsidR="00CE24BD" w:rsidRPr="00915770" w:rsidRDefault="00CE24BD" w:rsidP="00533513">
      <w:pPr>
        <w:tabs>
          <w:tab w:val="left" w:pos="3040"/>
        </w:tabs>
        <w:rPr>
          <w:rFonts w:ascii="Verdana" w:hAnsi="Verdana"/>
          <w:b/>
          <w:i/>
          <w:color w:val="000000"/>
          <w:sz w:val="20"/>
        </w:rPr>
      </w:pPr>
      <w:r w:rsidRPr="0077418A">
        <w:rPr>
          <w:rFonts w:ascii="Book Antiqua" w:hAnsi="Book Antiqua"/>
          <w:b/>
          <w:color w:val="000000"/>
          <w:sz w:val="28"/>
        </w:rPr>
        <w:tab/>
      </w:r>
    </w:p>
    <w:tbl>
      <w:tblPr>
        <w:tblStyle w:val="Grilledutableau"/>
        <w:tblW w:w="10620" w:type="dxa"/>
        <w:tblInd w:w="-612" w:type="dxa"/>
        <w:tblBorders>
          <w:left w:val="none" w:sz="0" w:space="0" w:color="auto"/>
          <w:right w:val="none" w:sz="0" w:space="0" w:color="auto"/>
          <w:insideH w:val="none" w:sz="0" w:space="0" w:color="auto"/>
        </w:tblBorders>
        <w:tblLayout w:type="fixed"/>
        <w:tblLook w:val="00A0" w:firstRow="1" w:lastRow="0" w:firstColumn="1" w:lastColumn="0" w:noHBand="0" w:noVBand="0"/>
      </w:tblPr>
      <w:tblGrid>
        <w:gridCol w:w="5400"/>
        <w:gridCol w:w="5220"/>
      </w:tblGrid>
      <w:tr w:rsidR="00CE24BD" w:rsidRPr="00915770" w14:paraId="04E6F003" w14:textId="77777777">
        <w:tc>
          <w:tcPr>
            <w:tcW w:w="5400" w:type="dxa"/>
            <w:tcBorders>
              <w:top w:val="single" w:sz="4" w:space="0" w:color="auto"/>
            </w:tcBorders>
          </w:tcPr>
          <w:p w14:paraId="59DDEF52" w14:textId="77777777" w:rsidR="00CE24BD" w:rsidRPr="00533513" w:rsidRDefault="00CE24BD" w:rsidP="00861F4A">
            <w:pPr>
              <w:rPr>
                <w:rFonts w:ascii="Candara" w:hAnsi="Candara"/>
                <w:b/>
                <w:i/>
                <w:color w:val="000000"/>
                <w:sz w:val="6"/>
              </w:rPr>
            </w:pPr>
          </w:p>
          <w:p w14:paraId="3232FDAC" w14:textId="12544406" w:rsidR="00CE24BD" w:rsidRPr="00533513" w:rsidRDefault="00F74CCB" w:rsidP="00861F4A">
            <w:pPr>
              <w:rPr>
                <w:rFonts w:ascii="Verdana" w:hAnsi="Verdana"/>
                <w:b/>
                <w:i/>
                <w:color w:val="000000"/>
                <w:sz w:val="6"/>
              </w:rPr>
            </w:pPr>
            <w:r>
              <w:rPr>
                <w:noProof/>
              </w:rPr>
              <w:drawing>
                <wp:anchor distT="0" distB="0" distL="114300" distR="114300" simplePos="0" relativeHeight="251657728" behindDoc="1" locked="0" layoutInCell="1" allowOverlap="1" wp14:anchorId="4C58B445" wp14:editId="199F60E0">
                  <wp:simplePos x="0" y="0"/>
                  <wp:positionH relativeFrom="column">
                    <wp:posOffset>342900</wp:posOffset>
                  </wp:positionH>
                  <wp:positionV relativeFrom="paragraph">
                    <wp:posOffset>170815</wp:posOffset>
                  </wp:positionV>
                  <wp:extent cx="2606040" cy="307975"/>
                  <wp:effectExtent l="0" t="0" r="10160" b="0"/>
                  <wp:wrapSquare wrapText="bothSides"/>
                  <wp:docPr id="2" name="Image 2" descr="bibracte rouge [Con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ibracte rouge [Convert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6040" cy="307975"/>
                          </a:xfrm>
                          <a:prstGeom prst="rect">
                            <a:avLst/>
                          </a:prstGeom>
                          <a:noFill/>
                        </pic:spPr>
                      </pic:pic>
                    </a:graphicData>
                  </a:graphic>
                  <wp14:sizeRelH relativeFrom="page">
                    <wp14:pctWidth>0</wp14:pctWidth>
                  </wp14:sizeRelH>
                  <wp14:sizeRelV relativeFrom="page">
                    <wp14:pctHeight>0</wp14:pctHeight>
                  </wp14:sizeRelV>
                </wp:anchor>
              </w:drawing>
            </w:r>
          </w:p>
        </w:tc>
        <w:tc>
          <w:tcPr>
            <w:tcW w:w="5220" w:type="dxa"/>
            <w:vMerge w:val="restart"/>
            <w:tcBorders>
              <w:top w:val="single" w:sz="4" w:space="0" w:color="auto"/>
            </w:tcBorders>
            <w:vAlign w:val="center"/>
          </w:tcPr>
          <w:p w14:paraId="18B37819" w14:textId="77777777" w:rsidR="00DA7D59" w:rsidRPr="00DA7D59" w:rsidRDefault="00DA7D59" w:rsidP="00DA7D59">
            <w:pPr>
              <w:tabs>
                <w:tab w:val="left" w:pos="5250"/>
              </w:tabs>
              <w:ind w:right="294"/>
              <w:jc w:val="center"/>
              <w:rPr>
                <w:rFonts w:ascii="Verdana" w:hAnsi="Verdana"/>
                <w:b/>
                <w:i/>
                <w:sz w:val="28"/>
              </w:rPr>
            </w:pPr>
            <w:r w:rsidRPr="00DA7D59">
              <w:rPr>
                <w:rFonts w:ascii="Verdana" w:hAnsi="Verdana"/>
                <w:b/>
                <w:i/>
                <w:sz w:val="28"/>
              </w:rPr>
              <w:t>Bilan de la campagne de recherche archéologique 2015 sur le mont Beuvray</w:t>
            </w:r>
          </w:p>
          <w:p w14:paraId="693A8400" w14:textId="0A3E724C" w:rsidR="00CE24BD" w:rsidRPr="00F606E6" w:rsidRDefault="00CE24BD" w:rsidP="00B907DB">
            <w:pPr>
              <w:tabs>
                <w:tab w:val="left" w:pos="5250"/>
              </w:tabs>
              <w:ind w:right="294"/>
              <w:jc w:val="center"/>
              <w:rPr>
                <w:rFonts w:ascii="Verdana" w:hAnsi="Verdana"/>
                <w:b/>
                <w:i/>
                <w:sz w:val="28"/>
              </w:rPr>
            </w:pPr>
          </w:p>
        </w:tc>
      </w:tr>
      <w:tr w:rsidR="00CE24BD" w:rsidRPr="00915770" w14:paraId="5B7B9662" w14:textId="77777777">
        <w:tc>
          <w:tcPr>
            <w:tcW w:w="5400" w:type="dxa"/>
            <w:tcBorders>
              <w:bottom w:val="single" w:sz="4" w:space="0" w:color="auto"/>
            </w:tcBorders>
          </w:tcPr>
          <w:p w14:paraId="2A9247CE" w14:textId="77777777" w:rsidR="00CE24BD" w:rsidRPr="00F606E6" w:rsidRDefault="00CE24BD" w:rsidP="00861F4A">
            <w:pPr>
              <w:rPr>
                <w:rFonts w:ascii="Candara" w:hAnsi="Candara"/>
                <w:i/>
                <w:color w:val="000000"/>
                <w:sz w:val="16"/>
              </w:rPr>
            </w:pPr>
          </w:p>
          <w:p w14:paraId="48D983D3" w14:textId="4CC41F6F" w:rsidR="00CE24BD" w:rsidRPr="00533513" w:rsidRDefault="00CE24BD" w:rsidP="00F606E6">
            <w:pPr>
              <w:spacing w:before="120"/>
              <w:jc w:val="center"/>
              <w:rPr>
                <w:rFonts w:ascii="Candara" w:hAnsi="Candara"/>
                <w:color w:val="000000"/>
              </w:rPr>
            </w:pPr>
            <w:r w:rsidRPr="00533513">
              <w:rPr>
                <w:rFonts w:ascii="Candara" w:hAnsi="Candara"/>
                <w:i/>
                <w:color w:val="000000"/>
              </w:rPr>
              <w:t xml:space="preserve">Communiqué de presse   </w:t>
            </w:r>
            <w:r w:rsidRPr="00533513">
              <w:rPr>
                <w:rFonts w:ascii="Candara" w:hAnsi="Candara"/>
                <w:color w:val="000000"/>
              </w:rPr>
              <w:t xml:space="preserve">  -     </w:t>
            </w:r>
            <w:r w:rsidR="00DA7D59">
              <w:rPr>
                <w:rFonts w:ascii="Candara" w:hAnsi="Candara"/>
                <w:color w:val="000000"/>
              </w:rPr>
              <w:t>4 décembre 2015</w:t>
            </w:r>
          </w:p>
          <w:p w14:paraId="5BA31542" w14:textId="77777777" w:rsidR="00CE24BD" w:rsidRPr="00533513" w:rsidRDefault="00CE24BD" w:rsidP="00861F4A">
            <w:pPr>
              <w:rPr>
                <w:rFonts w:ascii="Candara" w:hAnsi="Candara"/>
                <w:b/>
                <w:i/>
                <w:noProof/>
                <w:color w:val="000000"/>
                <w:sz w:val="20"/>
                <w:lang w:eastAsia="en-US"/>
              </w:rPr>
            </w:pPr>
          </w:p>
        </w:tc>
        <w:tc>
          <w:tcPr>
            <w:tcW w:w="5220" w:type="dxa"/>
            <w:vMerge/>
            <w:tcBorders>
              <w:bottom w:val="single" w:sz="4" w:space="0" w:color="auto"/>
            </w:tcBorders>
          </w:tcPr>
          <w:p w14:paraId="1A737C7D" w14:textId="77777777" w:rsidR="00CE24BD" w:rsidRPr="001B1FFF" w:rsidRDefault="00CE24BD" w:rsidP="00F606E6">
            <w:pPr>
              <w:tabs>
                <w:tab w:val="left" w:pos="5250"/>
              </w:tabs>
              <w:ind w:right="436"/>
              <w:jc w:val="center"/>
              <w:rPr>
                <w:rFonts w:ascii="Verdana" w:hAnsi="Verdana"/>
                <w:b/>
                <w:i/>
              </w:rPr>
            </w:pPr>
          </w:p>
        </w:tc>
      </w:tr>
    </w:tbl>
    <w:p w14:paraId="2F4518AD" w14:textId="77777777" w:rsidR="00CE24BD" w:rsidRPr="00533513" w:rsidRDefault="00CE24BD" w:rsidP="00533513">
      <w:pPr>
        <w:tabs>
          <w:tab w:val="left" w:pos="7020"/>
        </w:tabs>
        <w:rPr>
          <w:rFonts w:ascii="Verdana" w:hAnsi="Verdana"/>
          <w:color w:val="000000"/>
          <w:sz w:val="10"/>
        </w:rPr>
      </w:pPr>
    </w:p>
    <w:tbl>
      <w:tblPr>
        <w:tblStyle w:val="TableauNorm1"/>
        <w:tblW w:w="9782" w:type="dxa"/>
        <w:tblInd w:w="-214" w:type="dxa"/>
        <w:tblCellMar>
          <w:left w:w="70" w:type="dxa"/>
          <w:right w:w="70" w:type="dxa"/>
        </w:tblCellMar>
        <w:tblLook w:val="00A0" w:firstRow="1" w:lastRow="0" w:firstColumn="1" w:lastColumn="0" w:noHBand="0" w:noVBand="0"/>
      </w:tblPr>
      <w:tblGrid>
        <w:gridCol w:w="9782"/>
      </w:tblGrid>
      <w:tr w:rsidR="00CE24BD" w:rsidRPr="0077418A" w14:paraId="4D087FF3" w14:textId="77777777">
        <w:trPr>
          <w:trHeight w:val="11596"/>
        </w:trPr>
        <w:tc>
          <w:tcPr>
            <w:tcW w:w="9782" w:type="dxa"/>
          </w:tcPr>
          <w:p w14:paraId="08D06DFB" w14:textId="14C4B715" w:rsidR="00CE24BD" w:rsidRPr="00CA0DAC" w:rsidRDefault="00CE24BD" w:rsidP="00F606E6">
            <w:pPr>
              <w:rPr>
                <w:rFonts w:ascii="Verdana" w:eastAsia="Calibri" w:hAnsi="Verdana"/>
                <w:b/>
                <w:color w:val="000000"/>
                <w:sz w:val="28"/>
              </w:rPr>
            </w:pPr>
          </w:p>
          <w:p w14:paraId="1F84DD5C" w14:textId="77777777" w:rsidR="002B715A" w:rsidRDefault="002B715A" w:rsidP="002B715A">
            <w:pPr>
              <w:jc w:val="center"/>
              <w:rPr>
                <w:rFonts w:ascii="Verdana" w:eastAsia="Calibri" w:hAnsi="Verdana"/>
                <w:b/>
                <w:i/>
                <w:color w:val="000000"/>
                <w:sz w:val="28"/>
              </w:rPr>
            </w:pPr>
            <w:r w:rsidRPr="002B715A">
              <w:rPr>
                <w:rFonts w:ascii="Verdana" w:eastAsia="Calibri" w:hAnsi="Verdana"/>
                <w:b/>
                <w:i/>
                <w:color w:val="000000"/>
                <w:sz w:val="28"/>
              </w:rPr>
              <w:t xml:space="preserve">Bilan de la campagne de recherche archéologique 2015 </w:t>
            </w:r>
          </w:p>
          <w:p w14:paraId="292FA908" w14:textId="472CC54C" w:rsidR="002B715A" w:rsidRPr="002B715A" w:rsidRDefault="002B715A" w:rsidP="002B715A">
            <w:pPr>
              <w:jc w:val="center"/>
              <w:rPr>
                <w:rFonts w:ascii="Verdana" w:eastAsia="Calibri" w:hAnsi="Verdana"/>
                <w:b/>
                <w:i/>
                <w:color w:val="000000"/>
                <w:sz w:val="28"/>
              </w:rPr>
            </w:pPr>
            <w:r w:rsidRPr="002B715A">
              <w:rPr>
                <w:rFonts w:ascii="Verdana" w:eastAsia="Calibri" w:hAnsi="Verdana"/>
                <w:b/>
                <w:i/>
                <w:color w:val="000000"/>
                <w:sz w:val="28"/>
              </w:rPr>
              <w:t>sur le mont Beuvray</w:t>
            </w:r>
          </w:p>
          <w:p w14:paraId="30CF57D2" w14:textId="1B2E54A0" w:rsidR="00CE24BD" w:rsidRPr="00CA0DAC" w:rsidRDefault="00CE24BD" w:rsidP="004F56CE">
            <w:pPr>
              <w:jc w:val="center"/>
              <w:rPr>
                <w:rFonts w:ascii="Verdana" w:eastAsia="Calibri" w:hAnsi="Verdana"/>
                <w:b/>
                <w:color w:val="000000"/>
                <w:sz w:val="28"/>
              </w:rPr>
            </w:pPr>
          </w:p>
          <w:p w14:paraId="589895D9" w14:textId="40668EA6" w:rsidR="00DE4EBB" w:rsidRDefault="00DE4EBB" w:rsidP="00DE4EBB">
            <w:pPr>
              <w:ind w:firstLine="498"/>
              <w:jc w:val="both"/>
              <w:rPr>
                <w:rFonts w:ascii="Candara" w:eastAsia="Calibri" w:hAnsi="Candara"/>
                <w:color w:val="000000"/>
                <w:sz w:val="22"/>
              </w:rPr>
            </w:pPr>
          </w:p>
          <w:p w14:paraId="3B323847" w14:textId="2CB30F47" w:rsidR="000B5CAE" w:rsidRPr="006D143A" w:rsidRDefault="00944A19" w:rsidP="00CD74D2">
            <w:pPr>
              <w:tabs>
                <w:tab w:val="left" w:pos="0"/>
              </w:tabs>
              <w:jc w:val="both"/>
              <w:rPr>
                <w:rFonts w:ascii="Candara" w:eastAsia="Calibri" w:hAnsi="Candara"/>
                <w:b/>
                <w:color w:val="000000" w:themeColor="text1"/>
                <w:sz w:val="20"/>
                <w:szCs w:val="20"/>
              </w:rPr>
            </w:pPr>
            <w:r w:rsidRPr="006D143A">
              <w:rPr>
                <w:rFonts w:ascii="Candara" w:eastAsia="Calibri" w:hAnsi="Candara"/>
                <w:b/>
                <w:color w:val="000000" w:themeColor="text1"/>
                <w:sz w:val="20"/>
                <w:szCs w:val="20"/>
              </w:rPr>
              <w:t>La campagne d</w:t>
            </w:r>
            <w:r w:rsidR="00397C08" w:rsidRPr="006D143A">
              <w:rPr>
                <w:rFonts w:ascii="Candara" w:eastAsia="Calibri" w:hAnsi="Candara"/>
                <w:b/>
                <w:color w:val="000000" w:themeColor="text1"/>
                <w:sz w:val="20"/>
                <w:szCs w:val="20"/>
              </w:rPr>
              <w:t xml:space="preserve">e </w:t>
            </w:r>
            <w:r w:rsidR="00C14123" w:rsidRPr="006D143A">
              <w:rPr>
                <w:rFonts w:ascii="Candara" w:eastAsia="Calibri" w:hAnsi="Candara"/>
                <w:b/>
                <w:color w:val="000000" w:themeColor="text1"/>
                <w:sz w:val="20"/>
                <w:szCs w:val="20"/>
              </w:rPr>
              <w:t xml:space="preserve">prospection et de </w:t>
            </w:r>
            <w:r w:rsidR="00397C08" w:rsidRPr="006D143A">
              <w:rPr>
                <w:rFonts w:ascii="Candara" w:eastAsia="Calibri" w:hAnsi="Candara"/>
                <w:b/>
                <w:color w:val="000000" w:themeColor="text1"/>
                <w:sz w:val="20"/>
                <w:szCs w:val="20"/>
              </w:rPr>
              <w:t>fouilles réalisée d</w:t>
            </w:r>
            <w:r w:rsidRPr="006D143A">
              <w:rPr>
                <w:rFonts w:ascii="Candara" w:eastAsia="Calibri" w:hAnsi="Candara"/>
                <w:b/>
                <w:color w:val="000000" w:themeColor="text1"/>
                <w:sz w:val="20"/>
                <w:szCs w:val="20"/>
              </w:rPr>
              <w:t xml:space="preserve">urant la saison 2015 par </w:t>
            </w:r>
            <w:r w:rsidR="006D143A" w:rsidRPr="006D143A">
              <w:rPr>
                <w:rFonts w:ascii="Candara" w:eastAsia="Calibri" w:hAnsi="Candara"/>
                <w:b/>
                <w:color w:val="000000" w:themeColor="text1"/>
                <w:sz w:val="20"/>
                <w:szCs w:val="20"/>
              </w:rPr>
              <w:t>huit</w:t>
            </w:r>
            <w:r w:rsidRPr="006D143A">
              <w:rPr>
                <w:rFonts w:ascii="Candara" w:eastAsia="Calibri" w:hAnsi="Candara"/>
                <w:b/>
                <w:color w:val="000000" w:themeColor="text1"/>
                <w:sz w:val="20"/>
                <w:szCs w:val="20"/>
              </w:rPr>
              <w:t xml:space="preserve"> équipes universitaires européennes a permis de révéler la densité d’occupation </w:t>
            </w:r>
            <w:r w:rsidR="00E2330A" w:rsidRPr="006D143A">
              <w:rPr>
                <w:rFonts w:ascii="Candara" w:eastAsia="Calibri" w:hAnsi="Candara"/>
                <w:b/>
                <w:color w:val="000000" w:themeColor="text1"/>
                <w:sz w:val="20"/>
                <w:szCs w:val="20"/>
              </w:rPr>
              <w:t>de certains secteurs de la ville gauloise de Bibracte</w:t>
            </w:r>
            <w:r w:rsidR="00C14123" w:rsidRPr="006D143A">
              <w:rPr>
                <w:rFonts w:ascii="Candara" w:eastAsia="Calibri" w:hAnsi="Candara"/>
                <w:b/>
                <w:color w:val="000000" w:themeColor="text1"/>
                <w:sz w:val="20"/>
                <w:szCs w:val="20"/>
              </w:rPr>
              <w:t> : une concentration inédite de maisons est ainsi confirmée à l’arrière de la ligne d’habitation déjà repérée le long de la rue principale de l’oppidum, dans le secteur de la Côme Chaudron</w:t>
            </w:r>
            <w:r w:rsidR="00E2330A" w:rsidRPr="006D143A">
              <w:rPr>
                <w:rFonts w:ascii="Candara" w:eastAsia="Calibri" w:hAnsi="Candara"/>
                <w:b/>
                <w:color w:val="000000" w:themeColor="text1"/>
                <w:sz w:val="20"/>
                <w:szCs w:val="20"/>
              </w:rPr>
              <w:t>. Une nouvelle maison, dont l’élévation est très bien conservé</w:t>
            </w:r>
            <w:r w:rsidR="00D92F55" w:rsidRPr="006D143A">
              <w:rPr>
                <w:rFonts w:ascii="Candara" w:eastAsia="Calibri" w:hAnsi="Candara"/>
                <w:b/>
                <w:color w:val="000000" w:themeColor="text1"/>
                <w:sz w:val="20"/>
                <w:szCs w:val="20"/>
              </w:rPr>
              <w:t>e</w:t>
            </w:r>
            <w:r w:rsidR="00E2330A" w:rsidRPr="006D143A">
              <w:rPr>
                <w:rFonts w:ascii="Candara" w:eastAsia="Calibri" w:hAnsi="Candara"/>
                <w:b/>
                <w:color w:val="000000" w:themeColor="text1"/>
                <w:sz w:val="20"/>
                <w:szCs w:val="20"/>
              </w:rPr>
              <w:t xml:space="preserve">, a </w:t>
            </w:r>
            <w:r w:rsidR="00C14123" w:rsidRPr="006D143A">
              <w:rPr>
                <w:rFonts w:ascii="Candara" w:eastAsia="Calibri" w:hAnsi="Candara"/>
                <w:b/>
                <w:color w:val="000000" w:themeColor="text1"/>
                <w:sz w:val="20"/>
                <w:szCs w:val="20"/>
              </w:rPr>
              <w:t>aussi</w:t>
            </w:r>
            <w:r w:rsidR="00E2330A" w:rsidRPr="006D143A">
              <w:rPr>
                <w:rFonts w:ascii="Candara" w:eastAsia="Calibri" w:hAnsi="Candara"/>
                <w:b/>
                <w:color w:val="000000" w:themeColor="text1"/>
                <w:sz w:val="20"/>
                <w:szCs w:val="20"/>
              </w:rPr>
              <w:t xml:space="preserve"> été </w:t>
            </w:r>
            <w:r w:rsidR="00C14123" w:rsidRPr="006D143A">
              <w:rPr>
                <w:rFonts w:ascii="Candara" w:eastAsia="Calibri" w:hAnsi="Candara"/>
                <w:b/>
                <w:color w:val="000000" w:themeColor="text1"/>
                <w:sz w:val="20"/>
                <w:szCs w:val="20"/>
              </w:rPr>
              <w:t xml:space="preserve">en partie </w:t>
            </w:r>
            <w:r w:rsidR="00E2330A" w:rsidRPr="006D143A">
              <w:rPr>
                <w:rFonts w:ascii="Candara" w:eastAsia="Calibri" w:hAnsi="Candara"/>
                <w:b/>
                <w:color w:val="000000" w:themeColor="text1"/>
                <w:sz w:val="20"/>
                <w:szCs w:val="20"/>
              </w:rPr>
              <w:t>dégagée</w:t>
            </w:r>
            <w:r w:rsidR="001C4419" w:rsidRPr="006D143A">
              <w:rPr>
                <w:rFonts w:ascii="Candara" w:eastAsia="Calibri" w:hAnsi="Candara"/>
                <w:b/>
                <w:color w:val="000000" w:themeColor="text1"/>
                <w:sz w:val="20"/>
                <w:szCs w:val="20"/>
              </w:rPr>
              <w:t xml:space="preserve"> </w:t>
            </w:r>
            <w:r w:rsidR="00D92F55" w:rsidRPr="006D143A">
              <w:rPr>
                <w:rFonts w:ascii="Candara" w:eastAsia="Calibri" w:hAnsi="Candara"/>
                <w:b/>
                <w:color w:val="000000" w:themeColor="text1"/>
                <w:sz w:val="20"/>
                <w:szCs w:val="20"/>
              </w:rPr>
              <w:t>sur le Theurot de la Roche. Au secteur dit du Parc aux Chevaux, c’est un vaste ensemble bâti à usag</w:t>
            </w:r>
            <w:r w:rsidR="001C4419" w:rsidRPr="006D143A">
              <w:rPr>
                <w:rFonts w:ascii="Candara" w:eastAsia="Calibri" w:hAnsi="Candara"/>
                <w:b/>
                <w:color w:val="000000" w:themeColor="text1"/>
                <w:sz w:val="20"/>
                <w:szCs w:val="20"/>
              </w:rPr>
              <w:t xml:space="preserve">e collectif, plusieurs fois reconstruit, qui a été étudié. </w:t>
            </w:r>
            <w:r w:rsidR="00591A6F" w:rsidRPr="006D143A">
              <w:rPr>
                <w:rFonts w:ascii="Candara" w:eastAsia="Calibri" w:hAnsi="Candara"/>
                <w:b/>
                <w:color w:val="000000" w:themeColor="text1"/>
                <w:sz w:val="20"/>
                <w:szCs w:val="20"/>
              </w:rPr>
              <w:t>À</w:t>
            </w:r>
            <w:r w:rsidR="001C4419" w:rsidRPr="006D143A">
              <w:rPr>
                <w:rFonts w:ascii="Candara" w:eastAsia="Calibri" w:hAnsi="Candara"/>
                <w:b/>
                <w:color w:val="000000" w:themeColor="text1"/>
                <w:sz w:val="20"/>
                <w:szCs w:val="20"/>
              </w:rPr>
              <w:t xml:space="preserve"> proximité</w:t>
            </w:r>
            <w:r w:rsidR="006C14DC" w:rsidRPr="006D143A">
              <w:rPr>
                <w:rFonts w:ascii="Candara" w:eastAsia="Calibri" w:hAnsi="Candara"/>
                <w:b/>
                <w:color w:val="000000" w:themeColor="text1"/>
                <w:sz w:val="20"/>
                <w:szCs w:val="20"/>
              </w:rPr>
              <w:t xml:space="preserve">, </w:t>
            </w:r>
            <w:r w:rsidR="00C71791" w:rsidRPr="006D143A">
              <w:rPr>
                <w:rFonts w:ascii="Candara" w:eastAsia="Calibri" w:hAnsi="Candara"/>
                <w:b/>
                <w:color w:val="000000" w:themeColor="text1"/>
                <w:sz w:val="20"/>
                <w:szCs w:val="20"/>
              </w:rPr>
              <w:t>un</w:t>
            </w:r>
            <w:r w:rsidR="006C14DC" w:rsidRPr="006D143A">
              <w:rPr>
                <w:rFonts w:ascii="Candara" w:eastAsia="Calibri" w:hAnsi="Candara"/>
                <w:b/>
                <w:color w:val="000000" w:themeColor="text1"/>
                <w:sz w:val="20"/>
                <w:szCs w:val="20"/>
              </w:rPr>
              <w:t xml:space="preserve"> quartier d’habitation a livré cette année une vaste cave, ainsi que des accumulations d’amphores enfouies. </w:t>
            </w:r>
          </w:p>
          <w:p w14:paraId="4CF526C3" w14:textId="74478ABF" w:rsidR="006C14DC" w:rsidRPr="006D143A" w:rsidRDefault="006C14DC" w:rsidP="00CD74D2">
            <w:pPr>
              <w:tabs>
                <w:tab w:val="left" w:pos="0"/>
              </w:tabs>
              <w:jc w:val="both"/>
              <w:rPr>
                <w:rFonts w:ascii="Candara" w:eastAsia="Calibri" w:hAnsi="Candara"/>
                <w:b/>
                <w:color w:val="000000" w:themeColor="text1"/>
                <w:sz w:val="20"/>
                <w:szCs w:val="20"/>
              </w:rPr>
            </w:pPr>
            <w:r w:rsidRPr="006D143A">
              <w:rPr>
                <w:rFonts w:ascii="Candara" w:eastAsia="Calibri" w:hAnsi="Candara"/>
                <w:b/>
                <w:color w:val="000000" w:themeColor="text1"/>
                <w:sz w:val="20"/>
                <w:szCs w:val="20"/>
              </w:rPr>
              <w:t xml:space="preserve">L’importance des </w:t>
            </w:r>
            <w:r w:rsidR="00591A6F" w:rsidRPr="006D143A">
              <w:rPr>
                <w:rFonts w:ascii="Candara" w:eastAsia="Calibri" w:hAnsi="Candara"/>
                <w:b/>
                <w:color w:val="000000" w:themeColor="text1"/>
                <w:sz w:val="20"/>
                <w:szCs w:val="20"/>
              </w:rPr>
              <w:t>activités</w:t>
            </w:r>
            <w:r w:rsidRPr="006D143A">
              <w:rPr>
                <w:rFonts w:ascii="Candara" w:eastAsia="Calibri" w:hAnsi="Candara"/>
                <w:b/>
                <w:color w:val="000000" w:themeColor="text1"/>
                <w:sz w:val="20"/>
                <w:szCs w:val="20"/>
              </w:rPr>
              <w:t xml:space="preserve"> minières à Bibracte a </w:t>
            </w:r>
            <w:r w:rsidR="00C14123" w:rsidRPr="006D143A">
              <w:rPr>
                <w:rFonts w:ascii="Candara" w:eastAsia="Calibri" w:hAnsi="Candara"/>
                <w:b/>
                <w:color w:val="000000" w:themeColor="text1"/>
                <w:sz w:val="20"/>
                <w:szCs w:val="20"/>
              </w:rPr>
              <w:t xml:space="preserve">également </w:t>
            </w:r>
            <w:r w:rsidRPr="006D143A">
              <w:rPr>
                <w:rFonts w:ascii="Candara" w:eastAsia="Calibri" w:hAnsi="Candara"/>
                <w:b/>
                <w:color w:val="000000" w:themeColor="text1"/>
                <w:sz w:val="20"/>
                <w:szCs w:val="20"/>
              </w:rPr>
              <w:t xml:space="preserve">été mise en lumière, </w:t>
            </w:r>
            <w:r w:rsidR="00CC7542" w:rsidRPr="006D143A">
              <w:rPr>
                <w:rFonts w:ascii="Candara" w:eastAsia="Calibri" w:hAnsi="Candara"/>
                <w:b/>
                <w:color w:val="000000" w:themeColor="text1"/>
                <w:sz w:val="20"/>
                <w:szCs w:val="20"/>
              </w:rPr>
              <w:t xml:space="preserve">avec l’achèvement de la fouille d’une excavation </w:t>
            </w:r>
            <w:r w:rsidR="008C445F" w:rsidRPr="006D143A">
              <w:rPr>
                <w:rFonts w:ascii="Candara" w:eastAsia="Calibri" w:hAnsi="Candara"/>
                <w:b/>
                <w:color w:val="000000" w:themeColor="text1"/>
                <w:sz w:val="20"/>
                <w:szCs w:val="20"/>
              </w:rPr>
              <w:t xml:space="preserve">minière </w:t>
            </w:r>
            <w:r w:rsidR="00CC7542" w:rsidRPr="006D143A">
              <w:rPr>
                <w:rFonts w:ascii="Candara" w:eastAsia="Calibri" w:hAnsi="Candara"/>
                <w:b/>
                <w:color w:val="000000" w:themeColor="text1"/>
                <w:sz w:val="20"/>
                <w:szCs w:val="20"/>
              </w:rPr>
              <w:t xml:space="preserve">qui </w:t>
            </w:r>
            <w:r w:rsidR="00591A6F" w:rsidRPr="006D143A">
              <w:rPr>
                <w:rFonts w:ascii="Candara" w:eastAsia="Calibri" w:hAnsi="Candara"/>
                <w:b/>
                <w:color w:val="000000" w:themeColor="text1"/>
                <w:sz w:val="20"/>
                <w:szCs w:val="20"/>
              </w:rPr>
              <w:t>suivait</w:t>
            </w:r>
            <w:r w:rsidR="008C445F" w:rsidRPr="006D143A">
              <w:rPr>
                <w:rFonts w:ascii="Candara" w:eastAsia="Calibri" w:hAnsi="Candara"/>
                <w:b/>
                <w:color w:val="000000" w:themeColor="text1"/>
                <w:sz w:val="20"/>
                <w:szCs w:val="20"/>
              </w:rPr>
              <w:t>, jusqu’à 6 m de profondeur,</w:t>
            </w:r>
            <w:r w:rsidR="00CC7542" w:rsidRPr="006D143A">
              <w:rPr>
                <w:rFonts w:ascii="Candara" w:eastAsia="Calibri" w:hAnsi="Candara"/>
                <w:b/>
                <w:color w:val="000000" w:themeColor="text1"/>
                <w:sz w:val="20"/>
                <w:szCs w:val="20"/>
              </w:rPr>
              <w:t xml:space="preserve"> un filon contenant des sulfures d’argent.</w:t>
            </w:r>
          </w:p>
          <w:p w14:paraId="328E3645" w14:textId="0E331D79" w:rsidR="00CC7542" w:rsidRPr="006D143A" w:rsidRDefault="00591A6F" w:rsidP="00CD74D2">
            <w:pPr>
              <w:tabs>
                <w:tab w:val="left" w:pos="0"/>
              </w:tabs>
              <w:jc w:val="both"/>
              <w:rPr>
                <w:rFonts w:ascii="Candara" w:eastAsia="Calibri" w:hAnsi="Candara"/>
                <w:b/>
                <w:color w:val="000000" w:themeColor="text1"/>
                <w:sz w:val="20"/>
                <w:szCs w:val="20"/>
              </w:rPr>
            </w:pPr>
            <w:r w:rsidRPr="006D143A">
              <w:rPr>
                <w:rFonts w:ascii="Candara" w:eastAsia="Calibri" w:hAnsi="Candara"/>
                <w:b/>
                <w:color w:val="000000" w:themeColor="text1"/>
                <w:sz w:val="20"/>
                <w:szCs w:val="20"/>
              </w:rPr>
              <w:t>Les</w:t>
            </w:r>
            <w:r w:rsidR="00CC7542" w:rsidRPr="006D143A">
              <w:rPr>
                <w:rFonts w:ascii="Candara" w:eastAsia="Calibri" w:hAnsi="Candara"/>
                <w:b/>
                <w:color w:val="000000" w:themeColor="text1"/>
                <w:sz w:val="20"/>
                <w:szCs w:val="20"/>
              </w:rPr>
              <w:t xml:space="preserve"> adolescents </w:t>
            </w:r>
            <w:r w:rsidRPr="006D143A">
              <w:rPr>
                <w:rFonts w:ascii="Candara" w:eastAsia="Calibri" w:hAnsi="Candara"/>
                <w:b/>
                <w:color w:val="000000" w:themeColor="text1"/>
                <w:sz w:val="20"/>
                <w:szCs w:val="20"/>
              </w:rPr>
              <w:t>participant</w:t>
            </w:r>
            <w:r w:rsidR="00CC7542" w:rsidRPr="006D143A">
              <w:rPr>
                <w:rFonts w:ascii="Candara" w:eastAsia="Calibri" w:hAnsi="Candara"/>
                <w:b/>
                <w:color w:val="000000" w:themeColor="text1"/>
                <w:sz w:val="20"/>
                <w:szCs w:val="20"/>
              </w:rPr>
              <w:t xml:space="preserve"> au chantier-école ont quant à eux dégagé la salle de </w:t>
            </w:r>
            <w:r w:rsidRPr="006D143A">
              <w:rPr>
                <w:rFonts w:ascii="Candara" w:eastAsia="Calibri" w:hAnsi="Candara"/>
                <w:b/>
                <w:color w:val="000000" w:themeColor="text1"/>
                <w:sz w:val="20"/>
                <w:szCs w:val="20"/>
              </w:rPr>
              <w:t>réception</w:t>
            </w:r>
            <w:r w:rsidR="00CC7542" w:rsidRPr="006D143A">
              <w:rPr>
                <w:rFonts w:ascii="Candara" w:eastAsia="Calibri" w:hAnsi="Candara"/>
                <w:b/>
                <w:color w:val="000000" w:themeColor="text1"/>
                <w:sz w:val="20"/>
                <w:szCs w:val="20"/>
              </w:rPr>
              <w:t xml:space="preserve"> de la maison dite PC1</w:t>
            </w:r>
            <w:r w:rsidR="00743A2A" w:rsidRPr="006D143A">
              <w:rPr>
                <w:rFonts w:ascii="Candara" w:eastAsia="Calibri" w:hAnsi="Candara"/>
                <w:b/>
                <w:color w:val="000000" w:themeColor="text1"/>
                <w:sz w:val="20"/>
                <w:szCs w:val="20"/>
              </w:rPr>
              <w:t xml:space="preserve"> : avec son sol en mosaïque </w:t>
            </w:r>
            <w:r w:rsidR="00EE387E" w:rsidRPr="006D143A">
              <w:rPr>
                <w:rFonts w:ascii="Candara" w:eastAsia="Calibri" w:hAnsi="Candara"/>
                <w:b/>
                <w:color w:val="000000" w:themeColor="text1"/>
                <w:sz w:val="20"/>
                <w:szCs w:val="20"/>
              </w:rPr>
              <w:t xml:space="preserve">polychrome </w:t>
            </w:r>
            <w:r w:rsidR="00743A2A" w:rsidRPr="006D143A">
              <w:rPr>
                <w:rFonts w:ascii="Candara" w:eastAsia="Calibri" w:hAnsi="Candara"/>
                <w:b/>
                <w:color w:val="000000" w:themeColor="text1"/>
                <w:sz w:val="20"/>
                <w:szCs w:val="20"/>
              </w:rPr>
              <w:t xml:space="preserve">et son </w:t>
            </w:r>
            <w:r w:rsidRPr="006D143A">
              <w:rPr>
                <w:rFonts w:ascii="Candara" w:eastAsia="Calibri" w:hAnsi="Candara"/>
                <w:b/>
                <w:color w:val="000000" w:themeColor="text1"/>
                <w:sz w:val="20"/>
                <w:szCs w:val="20"/>
              </w:rPr>
              <w:t>plafond</w:t>
            </w:r>
            <w:r w:rsidR="00743A2A" w:rsidRPr="006D143A">
              <w:rPr>
                <w:rFonts w:ascii="Candara" w:eastAsia="Calibri" w:hAnsi="Candara"/>
                <w:b/>
                <w:color w:val="000000" w:themeColor="text1"/>
                <w:sz w:val="20"/>
                <w:szCs w:val="20"/>
              </w:rPr>
              <w:t xml:space="preserve"> décoré</w:t>
            </w:r>
            <w:r w:rsidR="00C14123" w:rsidRPr="006D143A">
              <w:rPr>
                <w:rFonts w:ascii="Candara" w:eastAsia="Calibri" w:hAnsi="Candara"/>
                <w:b/>
                <w:color w:val="000000" w:themeColor="text1"/>
                <w:sz w:val="20"/>
                <w:szCs w:val="20"/>
              </w:rPr>
              <w:t xml:space="preserve"> observés sous la forme d’infimes fragments</w:t>
            </w:r>
            <w:r w:rsidR="00743A2A" w:rsidRPr="006D143A">
              <w:rPr>
                <w:rFonts w:ascii="Candara" w:eastAsia="Calibri" w:hAnsi="Candara"/>
                <w:b/>
                <w:color w:val="000000" w:themeColor="text1"/>
                <w:sz w:val="20"/>
                <w:szCs w:val="20"/>
              </w:rPr>
              <w:t xml:space="preserve">, cette pièce </w:t>
            </w:r>
            <w:r w:rsidR="00C14123" w:rsidRPr="006D143A">
              <w:rPr>
                <w:rFonts w:ascii="Candara" w:eastAsia="Calibri" w:hAnsi="Candara"/>
                <w:b/>
                <w:color w:val="000000" w:themeColor="text1"/>
                <w:sz w:val="20"/>
                <w:szCs w:val="20"/>
              </w:rPr>
              <w:t xml:space="preserve">de 75 m² </w:t>
            </w:r>
            <w:r w:rsidR="00EE387E" w:rsidRPr="006D143A">
              <w:rPr>
                <w:rFonts w:ascii="Candara" w:eastAsia="Calibri" w:hAnsi="Candara"/>
                <w:b/>
                <w:color w:val="000000" w:themeColor="text1"/>
                <w:sz w:val="20"/>
                <w:szCs w:val="20"/>
              </w:rPr>
              <w:t>donne une idée de l</w:t>
            </w:r>
            <w:r w:rsidR="00743A2A" w:rsidRPr="006D143A">
              <w:rPr>
                <w:rFonts w:ascii="Candara" w:eastAsia="Calibri" w:hAnsi="Candara"/>
                <w:b/>
                <w:color w:val="000000" w:themeColor="text1"/>
                <w:sz w:val="20"/>
                <w:szCs w:val="20"/>
              </w:rPr>
              <w:t xml:space="preserve">a splendeur que devait avoir </w:t>
            </w:r>
            <w:r w:rsidRPr="006D143A">
              <w:rPr>
                <w:rFonts w:ascii="Candara" w:eastAsia="Calibri" w:hAnsi="Candara"/>
                <w:b/>
                <w:color w:val="000000" w:themeColor="text1"/>
                <w:sz w:val="20"/>
                <w:szCs w:val="20"/>
              </w:rPr>
              <w:t>ce palais urbain</w:t>
            </w:r>
            <w:r w:rsidR="00743A2A" w:rsidRPr="006D143A">
              <w:rPr>
                <w:rFonts w:ascii="Candara" w:eastAsia="Calibri" w:hAnsi="Candara"/>
                <w:b/>
                <w:color w:val="000000" w:themeColor="text1"/>
                <w:sz w:val="20"/>
                <w:szCs w:val="20"/>
              </w:rPr>
              <w:t xml:space="preserve"> de 3500 m²</w:t>
            </w:r>
            <w:r w:rsidRPr="006D143A">
              <w:rPr>
                <w:rFonts w:ascii="Candara" w:eastAsia="Calibri" w:hAnsi="Candara"/>
                <w:b/>
                <w:color w:val="000000" w:themeColor="text1"/>
                <w:sz w:val="20"/>
                <w:szCs w:val="20"/>
              </w:rPr>
              <w:t>, daté d</w:t>
            </w:r>
            <w:r w:rsidR="00EE387E" w:rsidRPr="006D143A">
              <w:rPr>
                <w:rFonts w:ascii="Candara" w:eastAsia="Calibri" w:hAnsi="Candara"/>
                <w:b/>
                <w:color w:val="000000" w:themeColor="text1"/>
                <w:sz w:val="20"/>
                <w:szCs w:val="20"/>
              </w:rPr>
              <w:t>u</w:t>
            </w:r>
            <w:r w:rsidRPr="006D143A">
              <w:rPr>
                <w:rFonts w:ascii="Candara" w:eastAsia="Calibri" w:hAnsi="Candara"/>
                <w:b/>
                <w:color w:val="000000" w:themeColor="text1"/>
                <w:sz w:val="20"/>
                <w:szCs w:val="20"/>
              </w:rPr>
              <w:t xml:space="preserve"> début de l’Empire romain et de style purement italique.</w:t>
            </w:r>
          </w:p>
          <w:p w14:paraId="3D379511" w14:textId="1A3A8638" w:rsidR="00941B8E" w:rsidRPr="006D143A" w:rsidRDefault="00814F83" w:rsidP="00CD74D2">
            <w:pPr>
              <w:tabs>
                <w:tab w:val="left" w:pos="0"/>
              </w:tabs>
              <w:jc w:val="both"/>
              <w:rPr>
                <w:rFonts w:ascii="Candara" w:eastAsia="Calibri" w:hAnsi="Candara"/>
                <w:b/>
                <w:color w:val="000000" w:themeColor="text1"/>
                <w:sz w:val="20"/>
                <w:szCs w:val="20"/>
              </w:rPr>
            </w:pPr>
            <w:r w:rsidRPr="006D143A">
              <w:rPr>
                <w:rFonts w:ascii="Candara" w:eastAsia="Calibri" w:hAnsi="Candara"/>
                <w:b/>
                <w:color w:val="000000" w:themeColor="text1"/>
                <w:sz w:val="20"/>
                <w:szCs w:val="20"/>
              </w:rPr>
              <w:t xml:space="preserve">L’année 2016 sera celle de l’achèvement d’un </w:t>
            </w:r>
            <w:r w:rsidR="00941B8E" w:rsidRPr="006D143A">
              <w:rPr>
                <w:rFonts w:ascii="Candara" w:eastAsia="Calibri" w:hAnsi="Candara"/>
                <w:b/>
                <w:color w:val="000000" w:themeColor="text1"/>
                <w:sz w:val="20"/>
                <w:szCs w:val="20"/>
              </w:rPr>
              <w:t>cycle quadriennal de recherche</w:t>
            </w:r>
            <w:r w:rsidR="00C14123" w:rsidRPr="006D143A">
              <w:rPr>
                <w:rFonts w:ascii="Candara" w:eastAsia="Calibri" w:hAnsi="Candara"/>
                <w:b/>
                <w:color w:val="000000" w:themeColor="text1"/>
                <w:sz w:val="20"/>
                <w:szCs w:val="20"/>
              </w:rPr>
              <w:t xml:space="preserve"> entamé en 2013</w:t>
            </w:r>
            <w:r w:rsidR="00941B8E" w:rsidRPr="006D143A">
              <w:rPr>
                <w:rFonts w:ascii="Candara" w:eastAsia="Calibri" w:hAnsi="Candara"/>
                <w:b/>
                <w:color w:val="000000" w:themeColor="text1"/>
                <w:sz w:val="20"/>
                <w:szCs w:val="20"/>
              </w:rPr>
              <w:t xml:space="preserve"> et l’occasion de la mise en route </w:t>
            </w:r>
            <w:r w:rsidR="009F6422" w:rsidRPr="006D143A">
              <w:rPr>
                <w:rFonts w:ascii="Candara" w:eastAsia="Calibri" w:hAnsi="Candara"/>
                <w:b/>
                <w:color w:val="000000" w:themeColor="text1"/>
                <w:sz w:val="20"/>
                <w:szCs w:val="20"/>
              </w:rPr>
              <w:t>d’un chantier de restauration sur le secteur de la Pâtur</w:t>
            </w:r>
            <w:r w:rsidR="003B4CFE" w:rsidRPr="006D143A">
              <w:rPr>
                <w:rFonts w:ascii="Candara" w:eastAsia="Calibri" w:hAnsi="Candara"/>
                <w:b/>
                <w:color w:val="000000" w:themeColor="text1"/>
                <w:sz w:val="20"/>
                <w:szCs w:val="20"/>
              </w:rPr>
              <w:t>e du Co</w:t>
            </w:r>
            <w:r w:rsidR="009F6422" w:rsidRPr="006D143A">
              <w:rPr>
                <w:rFonts w:ascii="Candara" w:eastAsia="Calibri" w:hAnsi="Candara"/>
                <w:b/>
                <w:color w:val="000000" w:themeColor="text1"/>
                <w:sz w:val="20"/>
                <w:szCs w:val="20"/>
              </w:rPr>
              <w:t>uvent</w:t>
            </w:r>
            <w:r w:rsidR="003B4CFE" w:rsidRPr="006D143A">
              <w:rPr>
                <w:rFonts w:ascii="Candara" w:eastAsia="Calibri" w:hAnsi="Candara"/>
                <w:b/>
                <w:color w:val="000000" w:themeColor="text1"/>
                <w:sz w:val="20"/>
                <w:szCs w:val="20"/>
              </w:rPr>
              <w:t>.</w:t>
            </w:r>
          </w:p>
          <w:p w14:paraId="5590665C" w14:textId="10A5DC27" w:rsidR="006627D1" w:rsidRPr="00EE387E" w:rsidRDefault="006627D1" w:rsidP="00CD74D2">
            <w:pPr>
              <w:pBdr>
                <w:bottom w:val="single" w:sz="6" w:space="1" w:color="auto"/>
              </w:pBdr>
              <w:tabs>
                <w:tab w:val="left" w:pos="0"/>
              </w:tabs>
              <w:jc w:val="both"/>
              <w:rPr>
                <w:rFonts w:ascii="Candara" w:eastAsia="Calibri" w:hAnsi="Candara"/>
                <w:b/>
                <w:color w:val="000000"/>
                <w:sz w:val="20"/>
                <w:szCs w:val="20"/>
              </w:rPr>
            </w:pPr>
            <w:r w:rsidRPr="00EE387E">
              <w:rPr>
                <w:rFonts w:ascii="Candara" w:eastAsia="Calibri" w:hAnsi="Candara"/>
                <w:b/>
                <w:color w:val="000000"/>
                <w:sz w:val="20"/>
                <w:szCs w:val="20"/>
              </w:rPr>
              <w:t xml:space="preserve"> </w:t>
            </w:r>
          </w:p>
          <w:p w14:paraId="0E8FCD22" w14:textId="77777777" w:rsidR="003B4CFE" w:rsidRPr="00D21427" w:rsidRDefault="003B4CFE" w:rsidP="00EE387E">
            <w:pPr>
              <w:tabs>
                <w:tab w:val="left" w:pos="0"/>
              </w:tabs>
              <w:jc w:val="center"/>
              <w:rPr>
                <w:rFonts w:ascii="Candara" w:eastAsia="Calibri" w:hAnsi="Candara"/>
                <w:color w:val="000000"/>
                <w:sz w:val="20"/>
                <w:szCs w:val="20"/>
              </w:rPr>
            </w:pPr>
          </w:p>
          <w:p w14:paraId="4845FBC2" w14:textId="77777777" w:rsidR="002B715A" w:rsidRPr="00D21427" w:rsidRDefault="002B715A" w:rsidP="00CD74D2">
            <w:pPr>
              <w:tabs>
                <w:tab w:val="left" w:pos="0"/>
              </w:tabs>
              <w:jc w:val="both"/>
              <w:rPr>
                <w:rFonts w:ascii="Candara" w:eastAsia="Calibri" w:hAnsi="Candara"/>
                <w:color w:val="000000"/>
                <w:sz w:val="20"/>
                <w:szCs w:val="20"/>
              </w:rPr>
            </w:pPr>
          </w:p>
          <w:p w14:paraId="77F63CDC" w14:textId="16A2F9FC" w:rsidR="002B715A" w:rsidRPr="00D21427" w:rsidRDefault="002B715A" w:rsidP="002B715A">
            <w:pPr>
              <w:tabs>
                <w:tab w:val="left" w:pos="0"/>
              </w:tabs>
              <w:jc w:val="both"/>
              <w:rPr>
                <w:rFonts w:ascii="Candara" w:eastAsia="Calibri" w:hAnsi="Candara"/>
                <w:color w:val="000000"/>
                <w:sz w:val="20"/>
                <w:szCs w:val="20"/>
              </w:rPr>
            </w:pPr>
            <w:r w:rsidRPr="00D21427">
              <w:rPr>
                <w:rFonts w:ascii="Candara" w:eastAsia="Calibri" w:hAnsi="Candara"/>
                <w:color w:val="000000"/>
                <w:sz w:val="20"/>
                <w:szCs w:val="20"/>
              </w:rPr>
              <w:t xml:space="preserve">En cette année 2015, les chercheurs et étudiants de </w:t>
            </w:r>
            <w:r w:rsidR="0088553A">
              <w:rPr>
                <w:rFonts w:ascii="Candara" w:eastAsia="Calibri" w:hAnsi="Candara"/>
                <w:color w:val="000000"/>
                <w:sz w:val="20"/>
                <w:szCs w:val="20"/>
              </w:rPr>
              <w:t>huit</w:t>
            </w:r>
            <w:bookmarkStart w:id="0" w:name="_GoBack"/>
            <w:bookmarkEnd w:id="0"/>
            <w:r w:rsidRPr="00D21427">
              <w:rPr>
                <w:rFonts w:ascii="Candara" w:eastAsia="Calibri" w:hAnsi="Candara"/>
                <w:color w:val="000000"/>
                <w:sz w:val="20"/>
                <w:szCs w:val="20"/>
              </w:rPr>
              <w:t xml:space="preserve"> équipes universitaires se sont succédé sur le terrain pour poursuivre des fouilles sur cinq chantiers : Besançon, Brno (République tchèque), Bruxelles, Dijon, Lausanne, Paris-Sorbonne, Rzeszów (Pologne), Toulouse.</w:t>
            </w:r>
            <w:r w:rsidR="00C14123">
              <w:rPr>
                <w:rFonts w:ascii="Candara" w:eastAsia="Calibri" w:hAnsi="Candara"/>
                <w:color w:val="FF0000"/>
                <w:sz w:val="20"/>
                <w:szCs w:val="20"/>
              </w:rPr>
              <w:t xml:space="preserve"> </w:t>
            </w:r>
          </w:p>
          <w:p w14:paraId="3C89BAFC" w14:textId="77777777" w:rsidR="002B715A" w:rsidRPr="00D21427" w:rsidRDefault="002B715A" w:rsidP="002B715A">
            <w:pPr>
              <w:tabs>
                <w:tab w:val="left" w:pos="0"/>
              </w:tabs>
              <w:jc w:val="both"/>
              <w:rPr>
                <w:rFonts w:ascii="Candara" w:eastAsia="Calibri" w:hAnsi="Candara"/>
                <w:color w:val="000000"/>
                <w:sz w:val="20"/>
                <w:szCs w:val="20"/>
              </w:rPr>
            </w:pPr>
          </w:p>
          <w:p w14:paraId="261F79C7" w14:textId="2DB4C372" w:rsidR="00D21427" w:rsidRDefault="00D21427" w:rsidP="002B715A">
            <w:pPr>
              <w:tabs>
                <w:tab w:val="left" w:pos="0"/>
              </w:tabs>
              <w:jc w:val="both"/>
              <w:rPr>
                <w:rFonts w:ascii="Candara" w:eastAsia="Calibri" w:hAnsi="Candara"/>
                <w:color w:val="000000"/>
                <w:sz w:val="20"/>
                <w:szCs w:val="20"/>
              </w:rPr>
            </w:pPr>
            <w:r w:rsidRPr="00D21427">
              <w:rPr>
                <w:rFonts w:ascii="Candara" w:hAnsi="Candara"/>
                <w:noProof/>
                <w:sz w:val="20"/>
                <w:szCs w:val="20"/>
              </w:rPr>
              <w:drawing>
                <wp:anchor distT="0" distB="0" distL="114300" distR="114300" simplePos="0" relativeHeight="251658752" behindDoc="0" locked="0" layoutInCell="1" allowOverlap="1" wp14:anchorId="7D84135A" wp14:editId="5ADB3224">
                  <wp:simplePos x="0" y="0"/>
                  <wp:positionH relativeFrom="column">
                    <wp:posOffset>-1905</wp:posOffset>
                  </wp:positionH>
                  <wp:positionV relativeFrom="paragraph">
                    <wp:posOffset>9525</wp:posOffset>
                  </wp:positionV>
                  <wp:extent cx="3117215" cy="2077085"/>
                  <wp:effectExtent l="0" t="0" r="698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jpg"/>
                          <pic:cNvPicPr/>
                        </pic:nvPicPr>
                        <pic:blipFill>
                          <a:blip r:embed="rId8">
                            <a:extLst>
                              <a:ext uri="{28A0092B-C50C-407E-A947-70E740481C1C}">
                                <a14:useLocalDpi xmlns:a14="http://schemas.microsoft.com/office/drawing/2010/main" val="0"/>
                              </a:ext>
                            </a:extLst>
                          </a:blip>
                          <a:stretch>
                            <a:fillRect/>
                          </a:stretch>
                        </pic:blipFill>
                        <pic:spPr>
                          <a:xfrm>
                            <a:off x="0" y="0"/>
                            <a:ext cx="3117215" cy="2077085"/>
                          </a:xfrm>
                          <a:prstGeom prst="rect">
                            <a:avLst/>
                          </a:prstGeom>
                        </pic:spPr>
                      </pic:pic>
                    </a:graphicData>
                  </a:graphic>
                  <wp14:sizeRelH relativeFrom="margin">
                    <wp14:pctWidth>0</wp14:pctWidth>
                  </wp14:sizeRelH>
                  <wp14:sizeRelV relativeFrom="margin">
                    <wp14:pctHeight>0</wp14:pctHeight>
                  </wp14:sizeRelV>
                </wp:anchor>
              </w:drawing>
            </w:r>
            <w:r w:rsidR="002B715A" w:rsidRPr="00D21427">
              <w:rPr>
                <w:rFonts w:ascii="Candara" w:eastAsia="Calibri" w:hAnsi="Candara"/>
                <w:color w:val="000000"/>
                <w:sz w:val="20"/>
                <w:szCs w:val="20"/>
              </w:rPr>
              <w:t xml:space="preserve">Avant de passer en revue les résultats sur chaque chantier, il faut faire une mention des </w:t>
            </w:r>
            <w:r w:rsidR="002B715A" w:rsidRPr="00D21427">
              <w:rPr>
                <w:rFonts w:ascii="Candara" w:eastAsia="Calibri" w:hAnsi="Candara"/>
                <w:b/>
                <w:color w:val="000000"/>
                <w:sz w:val="20"/>
                <w:szCs w:val="20"/>
              </w:rPr>
              <w:t>prospections géophysiques menées par l’université de Brno</w:t>
            </w:r>
            <w:r w:rsidR="002B715A" w:rsidRPr="00D21427">
              <w:rPr>
                <w:rFonts w:ascii="Candara" w:eastAsia="Calibri" w:hAnsi="Candara"/>
                <w:color w:val="000000"/>
                <w:sz w:val="20"/>
                <w:szCs w:val="20"/>
              </w:rPr>
              <w:t>. Engagées en 2011, ces prospections permettent de mesurer chaque année plusieurs hectares de terrain et de révéler partiellement l’organisation spatiale des vestiges enfouis, en faisant l’économie de leur dégagement. Au fil des campagnes, ces prospections révèlent des murs, des fossés, des tracés de voie… ce qui permet de mieux comprendre l’organisation générale de l’urbanisme de l’oppidum de Bibracte.</w:t>
            </w:r>
          </w:p>
          <w:p w14:paraId="56151223" w14:textId="77777777" w:rsidR="00D21427" w:rsidRPr="00D21427" w:rsidRDefault="00D21427" w:rsidP="002B715A">
            <w:pPr>
              <w:tabs>
                <w:tab w:val="left" w:pos="0"/>
              </w:tabs>
              <w:jc w:val="both"/>
              <w:rPr>
                <w:rFonts w:ascii="Candara" w:eastAsia="Calibri" w:hAnsi="Candara"/>
                <w:color w:val="000000"/>
                <w:sz w:val="20"/>
                <w:szCs w:val="20"/>
              </w:rPr>
            </w:pPr>
          </w:p>
          <w:p w14:paraId="1B8B6B25" w14:textId="592CC8A5" w:rsidR="00B57938" w:rsidRDefault="00B57938" w:rsidP="00B57938">
            <w:pPr>
              <w:rPr>
                <w:rFonts w:ascii="Candara" w:hAnsi="Candara"/>
                <w:i/>
                <w:sz w:val="18"/>
                <w:szCs w:val="18"/>
              </w:rPr>
            </w:pPr>
            <w:r w:rsidRPr="00D21427">
              <w:rPr>
                <w:rFonts w:ascii="Candara" w:hAnsi="Candara"/>
                <w:i/>
                <w:sz w:val="18"/>
                <w:szCs w:val="18"/>
              </w:rPr>
              <w:t>Prospection au géoradar (cl. Peter Milo, université de Brno)</w:t>
            </w:r>
          </w:p>
          <w:p w14:paraId="0ABAB373" w14:textId="77777777" w:rsidR="00627B9C" w:rsidRPr="00D21427" w:rsidRDefault="00627B9C" w:rsidP="00B57938">
            <w:pPr>
              <w:rPr>
                <w:rFonts w:ascii="Candara" w:hAnsi="Candara"/>
                <w:i/>
                <w:sz w:val="18"/>
                <w:szCs w:val="18"/>
              </w:rPr>
            </w:pPr>
          </w:p>
          <w:p w14:paraId="3FD81A58" w14:textId="77777777" w:rsidR="002B715A" w:rsidRPr="00D21427" w:rsidRDefault="002B715A" w:rsidP="00CD74D2">
            <w:pPr>
              <w:tabs>
                <w:tab w:val="left" w:pos="0"/>
              </w:tabs>
              <w:jc w:val="both"/>
              <w:rPr>
                <w:rFonts w:ascii="Candara" w:eastAsia="Calibri" w:hAnsi="Candara"/>
                <w:color w:val="000000"/>
                <w:sz w:val="20"/>
                <w:szCs w:val="20"/>
              </w:rPr>
            </w:pPr>
          </w:p>
          <w:p w14:paraId="0069D265" w14:textId="374D605A" w:rsidR="00B57938" w:rsidRPr="00D21427" w:rsidRDefault="00B57938" w:rsidP="00B57938">
            <w:pPr>
              <w:tabs>
                <w:tab w:val="left" w:pos="0"/>
              </w:tabs>
              <w:jc w:val="both"/>
              <w:rPr>
                <w:rFonts w:ascii="Candara" w:eastAsia="Calibri" w:hAnsi="Candara"/>
                <w:color w:val="000000"/>
                <w:sz w:val="20"/>
                <w:szCs w:val="20"/>
              </w:rPr>
            </w:pPr>
            <w:r w:rsidRPr="00D21427">
              <w:rPr>
                <w:rFonts w:ascii="Candara" w:eastAsia="Calibri" w:hAnsi="Candara"/>
                <w:b/>
                <w:color w:val="000000"/>
                <w:sz w:val="20"/>
                <w:szCs w:val="20"/>
              </w:rPr>
              <w:t>Dans le secteur la Côme Chaudron, l’équipe issue des universités de Brno et Rzeszów</w:t>
            </w:r>
            <w:r w:rsidRPr="00D21427">
              <w:rPr>
                <w:rFonts w:ascii="Candara" w:eastAsia="Calibri" w:hAnsi="Candara"/>
                <w:color w:val="000000"/>
                <w:sz w:val="20"/>
                <w:szCs w:val="20"/>
              </w:rPr>
              <w:t xml:space="preserve"> a poursuivi l’étude de ce quartier de constructions modestes, à 200 m en arrière de la Porte du Rebout. Malgré la forte érosion des couches archéologiques qui s’explique par l’existence d’anciens champs labourés à cet emplacement, l’équipe a montré que les maisons ne se cantonnent pas seulement aux abords de la grande rue qui traverse le secteur depuis la Porte du Rebout, distante de 200 m, mais qu’elles occupent une grande partie du versant, ce qui contribue à réviser à la hausse la densité d’occupation de ce secteur de la ville gauloise. </w:t>
            </w:r>
          </w:p>
          <w:p w14:paraId="76B91DEB" w14:textId="77777777" w:rsidR="00B57938" w:rsidRPr="00D21427" w:rsidRDefault="00B57938" w:rsidP="00B57938">
            <w:pPr>
              <w:tabs>
                <w:tab w:val="left" w:pos="0"/>
              </w:tabs>
              <w:jc w:val="both"/>
              <w:rPr>
                <w:rFonts w:ascii="Candara" w:eastAsia="Calibri" w:hAnsi="Candara"/>
                <w:color w:val="000000"/>
                <w:sz w:val="20"/>
                <w:szCs w:val="20"/>
              </w:rPr>
            </w:pPr>
          </w:p>
          <w:p w14:paraId="36BDA72D" w14:textId="1F0F4152" w:rsidR="00B57938" w:rsidRPr="00D21427" w:rsidRDefault="00B57938" w:rsidP="00B57938">
            <w:pPr>
              <w:tabs>
                <w:tab w:val="left" w:pos="0"/>
              </w:tabs>
              <w:jc w:val="both"/>
              <w:rPr>
                <w:rFonts w:ascii="Candara" w:eastAsia="Calibri" w:hAnsi="Candara"/>
                <w:color w:val="000000"/>
                <w:sz w:val="20"/>
                <w:szCs w:val="20"/>
              </w:rPr>
            </w:pPr>
            <w:r w:rsidRPr="00D21427">
              <w:rPr>
                <w:rFonts w:ascii="Candara" w:eastAsia="Calibri" w:hAnsi="Candara"/>
                <w:color w:val="000000"/>
                <w:sz w:val="20"/>
                <w:szCs w:val="20"/>
              </w:rPr>
              <w:t xml:space="preserve">Depuis plusieurs années, le principal secteur de fouille s’est déplacé dans une nouvelle grande clairière ouverte au cœur de l’oppidum, dans les zones dites du Parc aux Chevaux et du Theurot de la Roche. Ce secteur a livré les principaux résultats de la campagne. </w:t>
            </w:r>
          </w:p>
          <w:p w14:paraId="24C3334E" w14:textId="46BB9B10" w:rsidR="00B57938" w:rsidRDefault="00B57938" w:rsidP="00B57938">
            <w:pPr>
              <w:tabs>
                <w:tab w:val="left" w:pos="0"/>
              </w:tabs>
              <w:jc w:val="both"/>
              <w:rPr>
                <w:rFonts w:ascii="Candara" w:eastAsia="Calibri" w:hAnsi="Candara"/>
                <w:color w:val="000000"/>
                <w:sz w:val="20"/>
                <w:szCs w:val="20"/>
              </w:rPr>
            </w:pPr>
          </w:p>
          <w:p w14:paraId="3782FDBF" w14:textId="77777777" w:rsidR="00627B9C" w:rsidRDefault="00627B9C" w:rsidP="00B57938">
            <w:pPr>
              <w:tabs>
                <w:tab w:val="left" w:pos="0"/>
              </w:tabs>
              <w:jc w:val="both"/>
              <w:rPr>
                <w:rFonts w:ascii="Candara" w:eastAsia="Calibri" w:hAnsi="Candara"/>
                <w:color w:val="000000"/>
                <w:sz w:val="20"/>
                <w:szCs w:val="20"/>
              </w:rPr>
            </w:pPr>
          </w:p>
          <w:p w14:paraId="0B179235" w14:textId="77777777" w:rsidR="003B4CFE" w:rsidRDefault="003B4CFE" w:rsidP="00B57938">
            <w:pPr>
              <w:tabs>
                <w:tab w:val="left" w:pos="0"/>
              </w:tabs>
              <w:jc w:val="both"/>
              <w:rPr>
                <w:rFonts w:ascii="Candara" w:eastAsia="Calibri" w:hAnsi="Candara"/>
                <w:color w:val="000000"/>
                <w:sz w:val="20"/>
                <w:szCs w:val="20"/>
              </w:rPr>
            </w:pPr>
          </w:p>
          <w:p w14:paraId="2250A0A5" w14:textId="77777777" w:rsidR="003B4CFE" w:rsidRDefault="003B4CFE" w:rsidP="00B57938">
            <w:pPr>
              <w:tabs>
                <w:tab w:val="left" w:pos="0"/>
              </w:tabs>
              <w:jc w:val="both"/>
              <w:rPr>
                <w:rFonts w:ascii="Candara" w:eastAsia="Calibri" w:hAnsi="Candara"/>
                <w:color w:val="000000"/>
                <w:sz w:val="20"/>
                <w:szCs w:val="20"/>
              </w:rPr>
            </w:pPr>
          </w:p>
          <w:p w14:paraId="0A2FA5EC" w14:textId="77777777" w:rsidR="003B4CFE" w:rsidRDefault="003B4CFE" w:rsidP="00B57938">
            <w:pPr>
              <w:tabs>
                <w:tab w:val="left" w:pos="0"/>
              </w:tabs>
              <w:jc w:val="both"/>
              <w:rPr>
                <w:rFonts w:ascii="Candara" w:eastAsia="Calibri" w:hAnsi="Candara"/>
                <w:color w:val="000000"/>
                <w:sz w:val="20"/>
                <w:szCs w:val="20"/>
              </w:rPr>
            </w:pPr>
          </w:p>
          <w:p w14:paraId="60FD0940" w14:textId="77777777" w:rsidR="003B4CFE" w:rsidRDefault="003B4CFE" w:rsidP="00B57938">
            <w:pPr>
              <w:tabs>
                <w:tab w:val="left" w:pos="0"/>
              </w:tabs>
              <w:jc w:val="both"/>
              <w:rPr>
                <w:rFonts w:ascii="Candara" w:eastAsia="Calibri" w:hAnsi="Candara"/>
                <w:color w:val="000000"/>
                <w:sz w:val="20"/>
                <w:szCs w:val="20"/>
              </w:rPr>
            </w:pPr>
          </w:p>
          <w:p w14:paraId="6658D721" w14:textId="77777777" w:rsidR="003B4CFE" w:rsidRPr="00D21427" w:rsidRDefault="003B4CFE" w:rsidP="00B57938">
            <w:pPr>
              <w:tabs>
                <w:tab w:val="left" w:pos="0"/>
              </w:tabs>
              <w:jc w:val="both"/>
              <w:rPr>
                <w:rFonts w:ascii="Candara" w:eastAsia="Calibri" w:hAnsi="Candara"/>
                <w:color w:val="000000"/>
                <w:sz w:val="20"/>
                <w:szCs w:val="20"/>
              </w:rPr>
            </w:pPr>
          </w:p>
          <w:p w14:paraId="6F93F586" w14:textId="0F423CBD" w:rsidR="00B57938" w:rsidRPr="00D21427" w:rsidRDefault="003B4CFE" w:rsidP="00B57938">
            <w:pPr>
              <w:tabs>
                <w:tab w:val="left" w:pos="0"/>
              </w:tabs>
              <w:jc w:val="both"/>
              <w:rPr>
                <w:rFonts w:ascii="Candara" w:eastAsia="Calibri" w:hAnsi="Candara"/>
                <w:color w:val="000000"/>
                <w:sz w:val="20"/>
                <w:szCs w:val="20"/>
              </w:rPr>
            </w:pPr>
            <w:r w:rsidRPr="00D21427">
              <w:rPr>
                <w:rFonts w:ascii="Candara" w:hAnsi="Candara"/>
                <w:noProof/>
                <w:sz w:val="20"/>
                <w:szCs w:val="20"/>
              </w:rPr>
              <w:drawing>
                <wp:anchor distT="0" distB="0" distL="114300" distR="114300" simplePos="0" relativeHeight="251659776" behindDoc="0" locked="0" layoutInCell="1" allowOverlap="1" wp14:anchorId="42BA3EC7" wp14:editId="225A2CC7">
                  <wp:simplePos x="0" y="0"/>
                  <wp:positionH relativeFrom="column">
                    <wp:posOffset>-41910</wp:posOffset>
                  </wp:positionH>
                  <wp:positionV relativeFrom="paragraph">
                    <wp:posOffset>46990</wp:posOffset>
                  </wp:positionV>
                  <wp:extent cx="3279775" cy="2184400"/>
                  <wp:effectExtent l="0" t="0" r="0" b="635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racte_8761.jpg"/>
                          <pic:cNvPicPr/>
                        </pic:nvPicPr>
                        <pic:blipFill>
                          <a:blip r:embed="rId9">
                            <a:extLst>
                              <a:ext uri="{28A0092B-C50C-407E-A947-70E740481C1C}">
                                <a14:useLocalDpi xmlns:a14="http://schemas.microsoft.com/office/drawing/2010/main" val="0"/>
                              </a:ext>
                            </a:extLst>
                          </a:blip>
                          <a:stretch>
                            <a:fillRect/>
                          </a:stretch>
                        </pic:blipFill>
                        <pic:spPr>
                          <a:xfrm>
                            <a:off x="0" y="0"/>
                            <a:ext cx="3279775" cy="2184400"/>
                          </a:xfrm>
                          <a:prstGeom prst="rect">
                            <a:avLst/>
                          </a:prstGeom>
                        </pic:spPr>
                      </pic:pic>
                    </a:graphicData>
                  </a:graphic>
                  <wp14:sizeRelH relativeFrom="margin">
                    <wp14:pctWidth>0</wp14:pctWidth>
                  </wp14:sizeRelH>
                  <wp14:sizeRelV relativeFrom="margin">
                    <wp14:pctHeight>0</wp14:pctHeight>
                  </wp14:sizeRelV>
                </wp:anchor>
              </w:drawing>
            </w:r>
            <w:r w:rsidR="00B57938" w:rsidRPr="003F6224">
              <w:rPr>
                <w:rFonts w:ascii="Candara" w:eastAsia="Calibri" w:hAnsi="Candara"/>
                <w:b/>
                <w:color w:val="000000"/>
                <w:sz w:val="20"/>
                <w:szCs w:val="20"/>
              </w:rPr>
              <w:t>L’université de Lausanne a achevé son chantier sur l’éminence du Theurot de la Roche.</w:t>
            </w:r>
            <w:r w:rsidR="00B57938" w:rsidRPr="00D21427">
              <w:rPr>
                <w:rFonts w:ascii="Candara" w:eastAsia="Calibri" w:hAnsi="Candara"/>
                <w:color w:val="000000"/>
                <w:sz w:val="20"/>
                <w:szCs w:val="20"/>
              </w:rPr>
              <w:t xml:space="preserve"> Aux vestiges très variés observés durant les campagnes précédentes s’est ajoutée cette année une maison construite en pierre à la fin du I</w:t>
            </w:r>
            <w:r w:rsidR="00B57938" w:rsidRPr="00D21427">
              <w:rPr>
                <w:rFonts w:ascii="Candara" w:eastAsia="Calibri" w:hAnsi="Candara"/>
                <w:color w:val="000000"/>
                <w:sz w:val="20"/>
                <w:szCs w:val="20"/>
                <w:vertAlign w:val="superscript"/>
              </w:rPr>
              <w:t>er</w:t>
            </w:r>
            <w:r w:rsidR="00B57938" w:rsidRPr="00D21427">
              <w:rPr>
                <w:rFonts w:ascii="Candara" w:eastAsia="Calibri" w:hAnsi="Candara"/>
                <w:color w:val="000000"/>
                <w:sz w:val="20"/>
                <w:szCs w:val="20"/>
              </w:rPr>
              <w:t xml:space="preserve"> siècle avant notre ère, qui frappe par la bonne qualité de sa conservation : l’élévation conservée dépasse 2 m par endroits.</w:t>
            </w:r>
          </w:p>
          <w:p w14:paraId="6D5C4833" w14:textId="4E77068F" w:rsidR="00B57938" w:rsidRPr="00D21427" w:rsidRDefault="00B57938" w:rsidP="00CD74D2">
            <w:pPr>
              <w:tabs>
                <w:tab w:val="left" w:pos="0"/>
              </w:tabs>
              <w:jc w:val="both"/>
              <w:rPr>
                <w:rFonts w:ascii="Candara" w:eastAsia="Calibri" w:hAnsi="Candara"/>
                <w:color w:val="000000"/>
                <w:sz w:val="20"/>
                <w:szCs w:val="20"/>
              </w:rPr>
            </w:pPr>
          </w:p>
          <w:p w14:paraId="084ABA3A" w14:textId="4AA2D901" w:rsidR="00B57938" w:rsidRPr="00D21427" w:rsidRDefault="00B57938" w:rsidP="00CD74D2">
            <w:pPr>
              <w:tabs>
                <w:tab w:val="left" w:pos="0"/>
              </w:tabs>
              <w:jc w:val="both"/>
              <w:rPr>
                <w:rFonts w:ascii="Candara" w:eastAsia="Calibri" w:hAnsi="Candara"/>
                <w:color w:val="000000"/>
                <w:sz w:val="20"/>
                <w:szCs w:val="20"/>
              </w:rPr>
            </w:pPr>
          </w:p>
          <w:p w14:paraId="048A492D" w14:textId="77777777" w:rsidR="00E47461" w:rsidRDefault="00E47461" w:rsidP="00E47461">
            <w:pPr>
              <w:tabs>
                <w:tab w:val="left" w:pos="0"/>
              </w:tabs>
              <w:jc w:val="both"/>
              <w:rPr>
                <w:rFonts w:ascii="Candara" w:eastAsia="Calibri" w:hAnsi="Candara"/>
                <w:i/>
                <w:color w:val="000000"/>
                <w:sz w:val="16"/>
                <w:szCs w:val="16"/>
              </w:rPr>
            </w:pPr>
            <w:r w:rsidRPr="003F6224">
              <w:rPr>
                <w:rFonts w:ascii="Candara" w:eastAsia="Calibri" w:hAnsi="Candara"/>
                <w:i/>
                <w:color w:val="000000"/>
                <w:sz w:val="16"/>
                <w:szCs w:val="16"/>
              </w:rPr>
              <w:t>Maison romaine PC40 sur le versant sud du Theurot de la Roche (fouille de Thierry Luginbühl et Pascal Brand, université de Lausanne ;  cl. Antoine Maillier 2015, BEU8761, © Bibracte)</w:t>
            </w:r>
          </w:p>
          <w:p w14:paraId="183CA601" w14:textId="77777777" w:rsidR="003B4CFE" w:rsidRDefault="003B4CFE" w:rsidP="00E47461">
            <w:pPr>
              <w:tabs>
                <w:tab w:val="left" w:pos="0"/>
              </w:tabs>
              <w:jc w:val="both"/>
              <w:rPr>
                <w:rFonts w:ascii="Candara" w:eastAsia="Calibri" w:hAnsi="Candara"/>
                <w:i/>
                <w:color w:val="000000"/>
                <w:sz w:val="16"/>
                <w:szCs w:val="16"/>
              </w:rPr>
            </w:pPr>
          </w:p>
          <w:p w14:paraId="69B93627" w14:textId="77777777" w:rsidR="003B4CFE" w:rsidRDefault="003B4CFE" w:rsidP="00E47461">
            <w:pPr>
              <w:tabs>
                <w:tab w:val="left" w:pos="0"/>
              </w:tabs>
              <w:jc w:val="both"/>
              <w:rPr>
                <w:rFonts w:ascii="Candara" w:eastAsia="Calibri" w:hAnsi="Candara"/>
                <w:i/>
                <w:color w:val="000000"/>
                <w:sz w:val="16"/>
                <w:szCs w:val="16"/>
              </w:rPr>
            </w:pPr>
          </w:p>
          <w:p w14:paraId="015F5315" w14:textId="77777777" w:rsidR="003B4CFE" w:rsidRPr="003F6224" w:rsidRDefault="003B4CFE" w:rsidP="00E47461">
            <w:pPr>
              <w:tabs>
                <w:tab w:val="left" w:pos="0"/>
              </w:tabs>
              <w:jc w:val="both"/>
              <w:rPr>
                <w:rFonts w:ascii="Candara" w:eastAsia="Calibri" w:hAnsi="Candara"/>
                <w:i/>
                <w:color w:val="000000"/>
                <w:sz w:val="16"/>
                <w:szCs w:val="16"/>
              </w:rPr>
            </w:pPr>
          </w:p>
          <w:p w14:paraId="4825F83F" w14:textId="77777777" w:rsidR="00E47461" w:rsidRPr="00D21427" w:rsidRDefault="00E47461" w:rsidP="00E47461">
            <w:pPr>
              <w:tabs>
                <w:tab w:val="left" w:pos="0"/>
              </w:tabs>
              <w:jc w:val="both"/>
              <w:rPr>
                <w:rFonts w:ascii="Candara" w:eastAsia="Calibri" w:hAnsi="Candara"/>
                <w:color w:val="000000"/>
                <w:sz w:val="20"/>
                <w:szCs w:val="20"/>
              </w:rPr>
            </w:pPr>
          </w:p>
          <w:p w14:paraId="73B16BDD" w14:textId="4F3EFADB" w:rsidR="00E47461" w:rsidRPr="00D21427" w:rsidRDefault="003B4CFE" w:rsidP="00E47461">
            <w:pPr>
              <w:tabs>
                <w:tab w:val="left" w:pos="0"/>
              </w:tabs>
              <w:jc w:val="both"/>
              <w:rPr>
                <w:rFonts w:ascii="Candara" w:eastAsia="Calibri" w:hAnsi="Candara"/>
                <w:color w:val="000000"/>
                <w:sz w:val="20"/>
                <w:szCs w:val="20"/>
              </w:rPr>
            </w:pPr>
            <w:r w:rsidRPr="003F6224">
              <w:rPr>
                <w:rFonts w:ascii="Candara" w:hAnsi="Candara"/>
                <w:noProof/>
                <w:sz w:val="16"/>
                <w:szCs w:val="16"/>
              </w:rPr>
              <w:drawing>
                <wp:anchor distT="0" distB="0" distL="114300" distR="114300" simplePos="0" relativeHeight="251660800" behindDoc="0" locked="0" layoutInCell="1" allowOverlap="1" wp14:anchorId="6DDA239D" wp14:editId="2C9706B8">
                  <wp:simplePos x="0" y="0"/>
                  <wp:positionH relativeFrom="column">
                    <wp:posOffset>-39370</wp:posOffset>
                  </wp:positionH>
                  <wp:positionV relativeFrom="paragraph">
                    <wp:posOffset>-2540</wp:posOffset>
                  </wp:positionV>
                  <wp:extent cx="3254375" cy="2166620"/>
                  <wp:effectExtent l="0" t="0" r="3175" b="508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racte_8257.jpg"/>
                          <pic:cNvPicPr/>
                        </pic:nvPicPr>
                        <pic:blipFill>
                          <a:blip r:embed="rId10">
                            <a:extLst>
                              <a:ext uri="{28A0092B-C50C-407E-A947-70E740481C1C}">
                                <a14:useLocalDpi xmlns:a14="http://schemas.microsoft.com/office/drawing/2010/main" val="0"/>
                              </a:ext>
                            </a:extLst>
                          </a:blip>
                          <a:stretch>
                            <a:fillRect/>
                          </a:stretch>
                        </pic:blipFill>
                        <pic:spPr>
                          <a:xfrm>
                            <a:off x="0" y="0"/>
                            <a:ext cx="3254375" cy="2166620"/>
                          </a:xfrm>
                          <a:prstGeom prst="rect">
                            <a:avLst/>
                          </a:prstGeom>
                        </pic:spPr>
                      </pic:pic>
                    </a:graphicData>
                  </a:graphic>
                  <wp14:sizeRelH relativeFrom="margin">
                    <wp14:pctWidth>0</wp14:pctWidth>
                  </wp14:sizeRelH>
                  <wp14:sizeRelV relativeFrom="margin">
                    <wp14:pctHeight>0</wp14:pctHeight>
                  </wp14:sizeRelV>
                </wp:anchor>
              </w:drawing>
            </w:r>
            <w:r w:rsidR="00E47461" w:rsidRPr="00D21427">
              <w:rPr>
                <w:rFonts w:ascii="Candara" w:eastAsia="Calibri" w:hAnsi="Candara"/>
                <w:color w:val="000000"/>
                <w:sz w:val="20"/>
                <w:szCs w:val="20"/>
              </w:rPr>
              <w:t>L’équipe suisse a également reçu le renfort de spécialistes de l’archéologie minière pour explorer un puits qui avait été localisé en 2014. La fouille achevée, on confirme qu’il s’agit d’une excavation minière, qui s’est efforcée de suivre jusqu’à 6 m de profondeur un mince filon minéralisé qui contient notamment des sulfures d’argent. Cette découverte confirme l’importance de l’activité minière à l’intérieur même de l’enceinte de l’oppidum, dont les habitants ont été attentifs à recueillir les moindres parcelles de minerai que recelait le sous-sol.</w:t>
            </w:r>
          </w:p>
          <w:p w14:paraId="1CBA8D3D" w14:textId="38E97B37" w:rsidR="00E47461" w:rsidRPr="003F6224" w:rsidRDefault="00E47461" w:rsidP="00E47461">
            <w:pPr>
              <w:tabs>
                <w:tab w:val="left" w:pos="0"/>
              </w:tabs>
              <w:jc w:val="both"/>
              <w:rPr>
                <w:rFonts w:ascii="Candara" w:eastAsia="Calibri" w:hAnsi="Candara"/>
                <w:i/>
                <w:color w:val="000000"/>
                <w:sz w:val="16"/>
                <w:szCs w:val="16"/>
              </w:rPr>
            </w:pPr>
            <w:r w:rsidRPr="003F6224">
              <w:rPr>
                <w:rFonts w:ascii="Candara" w:eastAsia="Calibri" w:hAnsi="Candara"/>
                <w:i/>
                <w:color w:val="000000"/>
                <w:sz w:val="16"/>
                <w:szCs w:val="16"/>
              </w:rPr>
              <w:t>Puits de mine du Theurot de la Roche (fouille de Béatrice Cauuet, CNRS, laboratoire TRACES, Toulouse ; cl. Antoine Maillier 2015, BEU8257, ©Bibracte)</w:t>
            </w:r>
          </w:p>
          <w:p w14:paraId="3BC90FAA" w14:textId="5B3C8CBB" w:rsidR="00E47461" w:rsidRDefault="00E47461" w:rsidP="00E47461">
            <w:pPr>
              <w:tabs>
                <w:tab w:val="left" w:pos="0"/>
              </w:tabs>
              <w:jc w:val="both"/>
              <w:rPr>
                <w:rFonts w:ascii="Candara" w:eastAsia="Calibri" w:hAnsi="Candara"/>
                <w:color w:val="000000"/>
                <w:sz w:val="20"/>
                <w:szCs w:val="20"/>
              </w:rPr>
            </w:pPr>
          </w:p>
          <w:p w14:paraId="7028B38F" w14:textId="77777777" w:rsidR="003B4CFE" w:rsidRPr="00D21427" w:rsidRDefault="003B4CFE" w:rsidP="00E47461">
            <w:pPr>
              <w:tabs>
                <w:tab w:val="left" w:pos="0"/>
              </w:tabs>
              <w:jc w:val="both"/>
              <w:rPr>
                <w:rFonts w:ascii="Candara" w:eastAsia="Calibri" w:hAnsi="Candara"/>
                <w:color w:val="000000"/>
                <w:sz w:val="20"/>
                <w:szCs w:val="20"/>
              </w:rPr>
            </w:pPr>
          </w:p>
          <w:p w14:paraId="2EE54E45" w14:textId="475009D9" w:rsidR="00200A85" w:rsidRDefault="002E307E" w:rsidP="00E47461">
            <w:pPr>
              <w:tabs>
                <w:tab w:val="left" w:pos="0"/>
              </w:tabs>
              <w:jc w:val="both"/>
              <w:rPr>
                <w:rFonts w:ascii="Candara" w:eastAsia="Calibri" w:hAnsi="Candara"/>
                <w:color w:val="000000"/>
                <w:sz w:val="20"/>
                <w:szCs w:val="20"/>
              </w:rPr>
            </w:pPr>
            <w:r w:rsidRPr="00D21427">
              <w:rPr>
                <w:rFonts w:ascii="Candara" w:hAnsi="Candara"/>
                <w:noProof/>
                <w:sz w:val="20"/>
                <w:szCs w:val="20"/>
              </w:rPr>
              <w:drawing>
                <wp:anchor distT="0" distB="0" distL="114300" distR="114300" simplePos="0" relativeHeight="251662848" behindDoc="0" locked="0" layoutInCell="1" allowOverlap="1" wp14:anchorId="03D963CE" wp14:editId="1F68C4B3">
                  <wp:simplePos x="0" y="0"/>
                  <wp:positionH relativeFrom="column">
                    <wp:posOffset>-42545</wp:posOffset>
                  </wp:positionH>
                  <wp:positionV relativeFrom="paragraph">
                    <wp:posOffset>22860</wp:posOffset>
                  </wp:positionV>
                  <wp:extent cx="3293110" cy="3160395"/>
                  <wp:effectExtent l="0" t="0" r="2540" b="190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jpg"/>
                          <pic:cNvPicPr/>
                        </pic:nvPicPr>
                        <pic:blipFill>
                          <a:blip r:embed="rId11">
                            <a:extLst>
                              <a:ext uri="{28A0092B-C50C-407E-A947-70E740481C1C}">
                                <a14:useLocalDpi xmlns:a14="http://schemas.microsoft.com/office/drawing/2010/main" val="0"/>
                              </a:ext>
                            </a:extLst>
                          </a:blip>
                          <a:stretch>
                            <a:fillRect/>
                          </a:stretch>
                        </pic:blipFill>
                        <pic:spPr>
                          <a:xfrm>
                            <a:off x="0" y="0"/>
                            <a:ext cx="3293110" cy="3160395"/>
                          </a:xfrm>
                          <a:prstGeom prst="rect">
                            <a:avLst/>
                          </a:prstGeom>
                        </pic:spPr>
                      </pic:pic>
                    </a:graphicData>
                  </a:graphic>
                  <wp14:sizeRelH relativeFrom="margin">
                    <wp14:pctWidth>0</wp14:pctWidth>
                  </wp14:sizeRelH>
                  <wp14:sizeRelV relativeFrom="margin">
                    <wp14:pctHeight>0</wp14:pctHeight>
                  </wp14:sizeRelV>
                </wp:anchor>
              </w:drawing>
            </w:r>
            <w:r w:rsidR="00E47461" w:rsidRPr="003F6224">
              <w:rPr>
                <w:rFonts w:ascii="Candara" w:eastAsia="Calibri" w:hAnsi="Candara"/>
                <w:b/>
                <w:color w:val="000000"/>
                <w:sz w:val="20"/>
                <w:szCs w:val="20"/>
              </w:rPr>
              <w:t>Sur le replat du Parc aux Chevaux, l’équipe de Besançon et de Paris-Sorbonne</w:t>
            </w:r>
            <w:r w:rsidR="00E47461" w:rsidRPr="00D21427">
              <w:rPr>
                <w:rFonts w:ascii="Candara" w:eastAsia="Calibri" w:hAnsi="Candara"/>
                <w:color w:val="000000"/>
                <w:sz w:val="20"/>
                <w:szCs w:val="20"/>
              </w:rPr>
              <w:t xml:space="preserve"> a poursuivi le dégagement des restes d’une vaste construction en bois qui avait été repérée dès 2012. La nouvelle campagne ne fait que confirmer l’originalité et l’intérêt de cette découverte. Il s’agit d’un ensemble bâti s’inscrivant dans un carré de 43 m de côté, qui a été reconstruit intégralement deux fois avant d’être remplacé par un enclos de même étendue délimité par un mur de pierre. La disposition spatiale comporte initialement une cour centrale entourée d’une galerie ; cette galerie disparaît par la suite, au moment où la plus grande partie de la place est investie par un bâtiment central imposant qui s’appuie sur des poteaux équarris de 60 cm de section, dont la trace restait parfois parfaitement lisible dans leurs trous de calage. On a très certainement affaire à une construction d’usage collectif. Cette forme de galerie formant un quadrilatère est connue pour des sanctuaires de la même époque, notamment celui qui a été fouillé au centre de l’oppidum arverne de Corent, mais l’absence de dépôts d’objets caractéristiques des espaces religieux invite à la prudence quant à l’interprétation de la fonction de l’édifice de Bibracte.</w:t>
            </w:r>
          </w:p>
          <w:p w14:paraId="0A5D77E1" w14:textId="785B1591" w:rsidR="002E307E" w:rsidRDefault="002E307E" w:rsidP="00E47461">
            <w:pPr>
              <w:tabs>
                <w:tab w:val="left" w:pos="0"/>
              </w:tabs>
              <w:jc w:val="both"/>
              <w:rPr>
                <w:rFonts w:ascii="Candara" w:eastAsia="Calibri" w:hAnsi="Candara"/>
                <w:color w:val="000000"/>
                <w:sz w:val="20"/>
                <w:szCs w:val="20"/>
              </w:rPr>
            </w:pPr>
          </w:p>
          <w:p w14:paraId="32D133CA" w14:textId="77777777" w:rsidR="002E307E" w:rsidRPr="00441DFD" w:rsidRDefault="002E307E" w:rsidP="002E307E">
            <w:pPr>
              <w:tabs>
                <w:tab w:val="left" w:pos="0"/>
              </w:tabs>
              <w:jc w:val="both"/>
              <w:rPr>
                <w:rFonts w:ascii="Candara" w:eastAsia="Calibri" w:hAnsi="Candara"/>
                <w:i/>
                <w:color w:val="000000"/>
                <w:sz w:val="16"/>
                <w:szCs w:val="16"/>
              </w:rPr>
            </w:pPr>
            <w:r w:rsidRPr="00441DFD">
              <w:rPr>
                <w:rFonts w:ascii="Candara" w:eastAsia="Calibri" w:hAnsi="Candara"/>
                <w:i/>
                <w:color w:val="000000"/>
                <w:sz w:val="16"/>
                <w:szCs w:val="16"/>
              </w:rPr>
              <w:t>Montage de photographies prises avec l’aide d’un drone montrant les vestiges de l’ensemble bâti du Parc aux Chevaux. Les vestiges de murs en pierre du dernier état de construction recouvrent les tranchées et fosses de calage de l’ossature de bois des états antérieurs. (fouille de Philippe Barral, Pierre Nouvel, Matthieu Thivet, université de Franche-Comté / laboratoire de Chronoenvironnement, et Martine Joly, université de Paris-Sorbonne ; cl. Matthieu Thivet).</w:t>
            </w:r>
          </w:p>
          <w:p w14:paraId="3ECCB400" w14:textId="77777777" w:rsidR="002E307E" w:rsidRDefault="002E307E" w:rsidP="00E47461">
            <w:pPr>
              <w:tabs>
                <w:tab w:val="left" w:pos="0"/>
              </w:tabs>
              <w:jc w:val="both"/>
              <w:rPr>
                <w:rFonts w:ascii="Candara" w:eastAsia="Calibri" w:hAnsi="Candara"/>
                <w:color w:val="000000"/>
                <w:sz w:val="20"/>
                <w:szCs w:val="20"/>
              </w:rPr>
            </w:pPr>
          </w:p>
          <w:p w14:paraId="31C3EACF" w14:textId="77777777" w:rsidR="00200A85" w:rsidRDefault="00200A85" w:rsidP="00E47461">
            <w:pPr>
              <w:tabs>
                <w:tab w:val="left" w:pos="0"/>
              </w:tabs>
              <w:jc w:val="both"/>
              <w:rPr>
                <w:rFonts w:ascii="Candara" w:eastAsia="Calibri" w:hAnsi="Candara"/>
                <w:color w:val="000000"/>
                <w:sz w:val="20"/>
                <w:szCs w:val="20"/>
              </w:rPr>
            </w:pPr>
          </w:p>
          <w:p w14:paraId="7DE30877" w14:textId="77777777" w:rsidR="003E1B4C" w:rsidRDefault="003E1B4C" w:rsidP="00E47461">
            <w:pPr>
              <w:tabs>
                <w:tab w:val="left" w:pos="0"/>
              </w:tabs>
              <w:jc w:val="both"/>
              <w:rPr>
                <w:rFonts w:ascii="Candara" w:eastAsia="Calibri" w:hAnsi="Candara"/>
                <w:color w:val="000000"/>
                <w:sz w:val="20"/>
                <w:szCs w:val="20"/>
              </w:rPr>
            </w:pPr>
          </w:p>
          <w:p w14:paraId="09C8A6E2" w14:textId="77777777" w:rsidR="003E1B4C" w:rsidRDefault="003E1B4C" w:rsidP="00E47461">
            <w:pPr>
              <w:tabs>
                <w:tab w:val="left" w:pos="0"/>
              </w:tabs>
              <w:jc w:val="both"/>
              <w:rPr>
                <w:rFonts w:ascii="Candara" w:eastAsia="Calibri" w:hAnsi="Candara"/>
                <w:color w:val="000000"/>
                <w:sz w:val="20"/>
                <w:szCs w:val="20"/>
              </w:rPr>
            </w:pPr>
          </w:p>
          <w:p w14:paraId="71B6E412" w14:textId="77777777" w:rsidR="003E1B4C" w:rsidRDefault="003E1B4C" w:rsidP="00E47461">
            <w:pPr>
              <w:tabs>
                <w:tab w:val="left" w:pos="0"/>
              </w:tabs>
              <w:jc w:val="both"/>
              <w:rPr>
                <w:rFonts w:ascii="Candara" w:eastAsia="Calibri" w:hAnsi="Candara"/>
                <w:color w:val="000000"/>
                <w:sz w:val="20"/>
                <w:szCs w:val="20"/>
              </w:rPr>
            </w:pPr>
          </w:p>
          <w:p w14:paraId="10587AAE" w14:textId="77777777" w:rsidR="003E1B4C" w:rsidRDefault="003E1B4C" w:rsidP="00E47461">
            <w:pPr>
              <w:tabs>
                <w:tab w:val="left" w:pos="0"/>
              </w:tabs>
              <w:jc w:val="both"/>
              <w:rPr>
                <w:rFonts w:ascii="Candara" w:eastAsia="Calibri" w:hAnsi="Candara"/>
                <w:color w:val="000000"/>
                <w:sz w:val="20"/>
                <w:szCs w:val="20"/>
              </w:rPr>
            </w:pPr>
          </w:p>
          <w:p w14:paraId="2D672DAB" w14:textId="77777777" w:rsidR="003E1B4C" w:rsidRDefault="003E1B4C" w:rsidP="00E47461">
            <w:pPr>
              <w:tabs>
                <w:tab w:val="left" w:pos="0"/>
              </w:tabs>
              <w:jc w:val="both"/>
              <w:rPr>
                <w:rFonts w:ascii="Candara" w:eastAsia="Calibri" w:hAnsi="Candara"/>
                <w:color w:val="000000"/>
                <w:sz w:val="20"/>
                <w:szCs w:val="20"/>
              </w:rPr>
            </w:pPr>
          </w:p>
          <w:p w14:paraId="2B6AB092" w14:textId="6E7D62AA" w:rsidR="00E47461" w:rsidRPr="00D21427" w:rsidRDefault="00E47461" w:rsidP="00E47461">
            <w:pPr>
              <w:tabs>
                <w:tab w:val="left" w:pos="0"/>
              </w:tabs>
              <w:jc w:val="both"/>
              <w:rPr>
                <w:rFonts w:ascii="Candara" w:eastAsia="Calibri" w:hAnsi="Candara"/>
                <w:color w:val="000000"/>
                <w:sz w:val="20"/>
                <w:szCs w:val="20"/>
              </w:rPr>
            </w:pPr>
            <w:r w:rsidRPr="00200A85">
              <w:rPr>
                <w:rFonts w:ascii="Candara" w:eastAsia="Calibri" w:hAnsi="Candara"/>
                <w:b/>
                <w:color w:val="000000"/>
                <w:sz w:val="20"/>
                <w:szCs w:val="20"/>
              </w:rPr>
              <w:t xml:space="preserve"> </w:t>
            </w:r>
            <w:r w:rsidR="00591A6F" w:rsidRPr="00200A85">
              <w:rPr>
                <w:rFonts w:ascii="Candara" w:eastAsia="Calibri" w:hAnsi="Candara"/>
                <w:b/>
                <w:color w:val="000000"/>
                <w:sz w:val="20"/>
                <w:szCs w:val="20"/>
              </w:rPr>
              <w:t>À</w:t>
            </w:r>
            <w:r w:rsidRPr="00200A85">
              <w:rPr>
                <w:rFonts w:ascii="Candara" w:eastAsia="Calibri" w:hAnsi="Candara"/>
                <w:b/>
                <w:color w:val="000000"/>
                <w:sz w:val="20"/>
                <w:szCs w:val="20"/>
              </w:rPr>
              <w:t xml:space="preserve"> proximité, l’équipe de Bruxelles et de Dijon</w:t>
            </w:r>
            <w:r w:rsidRPr="00D21427">
              <w:rPr>
                <w:rFonts w:ascii="Candara" w:eastAsia="Calibri" w:hAnsi="Candara"/>
                <w:color w:val="000000"/>
                <w:sz w:val="20"/>
                <w:szCs w:val="20"/>
              </w:rPr>
              <w:t xml:space="preserve"> a achevé l’étude d’un quartier d’habitation qui a livré cette année une vaste cave boisée à l’origine et, de nouveau, des accumulations d’amphores enfouies dans des fosses de taille diverse.</w:t>
            </w:r>
          </w:p>
          <w:p w14:paraId="35D6F38D" w14:textId="5A59D5B4" w:rsidR="00B57938" w:rsidRPr="00D21427" w:rsidRDefault="00B57938" w:rsidP="00CD74D2">
            <w:pPr>
              <w:tabs>
                <w:tab w:val="left" w:pos="0"/>
              </w:tabs>
              <w:jc w:val="both"/>
              <w:rPr>
                <w:rFonts w:ascii="Candara" w:eastAsia="Calibri" w:hAnsi="Candara"/>
                <w:color w:val="000000"/>
                <w:sz w:val="20"/>
                <w:szCs w:val="20"/>
              </w:rPr>
            </w:pPr>
          </w:p>
          <w:p w14:paraId="6350AA1F" w14:textId="1A7F21FC" w:rsidR="00E47461" w:rsidRPr="00D21427" w:rsidRDefault="00E47461" w:rsidP="00CD74D2">
            <w:pPr>
              <w:tabs>
                <w:tab w:val="left" w:pos="0"/>
              </w:tabs>
              <w:jc w:val="both"/>
              <w:rPr>
                <w:rFonts w:ascii="Candara" w:eastAsia="Calibri" w:hAnsi="Candara"/>
                <w:color w:val="000000"/>
                <w:sz w:val="20"/>
                <w:szCs w:val="20"/>
              </w:rPr>
            </w:pPr>
          </w:p>
          <w:p w14:paraId="457D1A3D" w14:textId="77777777" w:rsidR="00E47461" w:rsidRPr="00200A85" w:rsidRDefault="00E47461" w:rsidP="00E47461">
            <w:pPr>
              <w:tabs>
                <w:tab w:val="left" w:pos="0"/>
              </w:tabs>
              <w:jc w:val="both"/>
              <w:rPr>
                <w:rFonts w:ascii="Candara" w:eastAsia="Calibri" w:hAnsi="Candara"/>
                <w:i/>
                <w:color w:val="000000"/>
                <w:sz w:val="16"/>
                <w:szCs w:val="16"/>
              </w:rPr>
            </w:pPr>
            <w:r w:rsidRPr="00200A85">
              <w:rPr>
                <w:rFonts w:ascii="Candara" w:eastAsia="Calibri" w:hAnsi="Candara"/>
                <w:i/>
                <w:color w:val="000000"/>
                <w:sz w:val="16"/>
                <w:szCs w:val="16"/>
              </w:rPr>
              <w:t>Amphores à vin brisées retrouvées enfouies dans le sous-sol du secteur du Parc aux Chevaux. Ces amphores d’une contenance d’environ 25 litres acheminaient à Bibracte du vin produit sur la côte occidentale de l’Italie romaine. (fouille d’Andrea Fochesato, Fanny Martin, Ralf Hoppadietz, Nicolas Delferrière, Laurent Bavay et Daniele Vitali, Université Libre de Bruxelles et université de Bourgogne ; cl. Antoine Maillier 2015, BEU7529, © Bibracte)</w:t>
            </w:r>
          </w:p>
          <w:p w14:paraId="2FF8126F" w14:textId="77777777" w:rsidR="00200A85" w:rsidRDefault="00200A85" w:rsidP="00E47461">
            <w:pPr>
              <w:tabs>
                <w:tab w:val="left" w:pos="0"/>
              </w:tabs>
              <w:jc w:val="both"/>
              <w:rPr>
                <w:rFonts w:ascii="Candara" w:eastAsia="Calibri" w:hAnsi="Candara"/>
                <w:i/>
                <w:color w:val="000000"/>
                <w:sz w:val="20"/>
                <w:szCs w:val="20"/>
              </w:rPr>
            </w:pPr>
          </w:p>
          <w:p w14:paraId="138688DE" w14:textId="77777777" w:rsidR="00200A85" w:rsidRDefault="00200A85" w:rsidP="00E47461">
            <w:pPr>
              <w:tabs>
                <w:tab w:val="left" w:pos="0"/>
              </w:tabs>
              <w:jc w:val="both"/>
              <w:rPr>
                <w:rFonts w:ascii="Candara" w:eastAsia="Calibri" w:hAnsi="Candara"/>
                <w:i/>
                <w:color w:val="000000"/>
                <w:sz w:val="20"/>
                <w:szCs w:val="20"/>
              </w:rPr>
            </w:pPr>
          </w:p>
          <w:p w14:paraId="2B3D55EF" w14:textId="77777777" w:rsidR="00200A85" w:rsidRDefault="00200A85" w:rsidP="00E47461">
            <w:pPr>
              <w:tabs>
                <w:tab w:val="left" w:pos="0"/>
              </w:tabs>
              <w:jc w:val="both"/>
              <w:rPr>
                <w:rFonts w:ascii="Candara" w:eastAsia="Calibri" w:hAnsi="Candara"/>
                <w:i/>
                <w:color w:val="000000"/>
                <w:sz w:val="20"/>
                <w:szCs w:val="20"/>
              </w:rPr>
            </w:pPr>
          </w:p>
          <w:p w14:paraId="6B168EE2" w14:textId="77777777" w:rsidR="00200A85" w:rsidRDefault="00200A85" w:rsidP="00E47461">
            <w:pPr>
              <w:tabs>
                <w:tab w:val="left" w:pos="0"/>
              </w:tabs>
              <w:jc w:val="both"/>
              <w:rPr>
                <w:rFonts w:ascii="Candara" w:eastAsia="Calibri" w:hAnsi="Candara"/>
                <w:i/>
                <w:color w:val="000000"/>
                <w:sz w:val="20"/>
                <w:szCs w:val="20"/>
              </w:rPr>
            </w:pPr>
          </w:p>
          <w:p w14:paraId="52A7360A" w14:textId="12B65F1A" w:rsidR="00200A85" w:rsidRDefault="00200A85" w:rsidP="00E47461">
            <w:pPr>
              <w:tabs>
                <w:tab w:val="left" w:pos="0"/>
              </w:tabs>
              <w:jc w:val="both"/>
              <w:rPr>
                <w:rFonts w:ascii="Candara" w:eastAsia="Calibri" w:hAnsi="Candara"/>
                <w:i/>
                <w:color w:val="000000"/>
                <w:sz w:val="20"/>
                <w:szCs w:val="20"/>
              </w:rPr>
            </w:pPr>
          </w:p>
          <w:p w14:paraId="14F8AFE6" w14:textId="77777777" w:rsidR="00E47461" w:rsidRPr="00D21427" w:rsidRDefault="00E47461" w:rsidP="00E47461">
            <w:pPr>
              <w:tabs>
                <w:tab w:val="left" w:pos="0"/>
              </w:tabs>
              <w:jc w:val="both"/>
              <w:rPr>
                <w:rFonts w:ascii="Candara" w:eastAsia="Calibri" w:hAnsi="Candara"/>
                <w:i/>
                <w:color w:val="000000"/>
                <w:sz w:val="20"/>
                <w:szCs w:val="20"/>
              </w:rPr>
            </w:pPr>
          </w:p>
          <w:p w14:paraId="27E2D05D" w14:textId="07E8B839" w:rsidR="00E47461" w:rsidRPr="00D21427" w:rsidRDefault="003E1B4C" w:rsidP="00CD74D2">
            <w:pPr>
              <w:tabs>
                <w:tab w:val="left" w:pos="0"/>
              </w:tabs>
              <w:jc w:val="both"/>
              <w:rPr>
                <w:rFonts w:ascii="Candara" w:eastAsia="Calibri" w:hAnsi="Candara"/>
                <w:color w:val="000000"/>
                <w:sz w:val="20"/>
                <w:szCs w:val="20"/>
              </w:rPr>
            </w:pPr>
            <w:r w:rsidRPr="00D21427">
              <w:rPr>
                <w:rFonts w:ascii="Candara" w:hAnsi="Candara"/>
                <w:noProof/>
                <w:sz w:val="20"/>
                <w:szCs w:val="20"/>
              </w:rPr>
              <w:drawing>
                <wp:anchor distT="0" distB="0" distL="114300" distR="114300" simplePos="0" relativeHeight="251661824" behindDoc="1" locked="0" layoutInCell="1" allowOverlap="1" wp14:anchorId="66089EC2" wp14:editId="1C7725C8">
                  <wp:simplePos x="0" y="0"/>
                  <wp:positionH relativeFrom="column">
                    <wp:posOffset>29845</wp:posOffset>
                  </wp:positionH>
                  <wp:positionV relativeFrom="paragraph">
                    <wp:posOffset>-2293620</wp:posOffset>
                  </wp:positionV>
                  <wp:extent cx="1656080" cy="2448560"/>
                  <wp:effectExtent l="0" t="0" r="1270" b="8890"/>
                  <wp:wrapTight wrapText="bothSides">
                    <wp:wrapPolygon edited="0">
                      <wp:start x="0" y="0"/>
                      <wp:lineTo x="0" y="21510"/>
                      <wp:lineTo x="21368" y="21510"/>
                      <wp:lineTo x="2136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racte_7529.jpg"/>
                          <pic:cNvPicPr/>
                        </pic:nvPicPr>
                        <pic:blipFill>
                          <a:blip r:embed="rId12">
                            <a:extLst>
                              <a:ext uri="{28A0092B-C50C-407E-A947-70E740481C1C}">
                                <a14:useLocalDpi xmlns:a14="http://schemas.microsoft.com/office/drawing/2010/main" val="0"/>
                              </a:ext>
                            </a:extLst>
                          </a:blip>
                          <a:stretch>
                            <a:fillRect/>
                          </a:stretch>
                        </pic:blipFill>
                        <pic:spPr>
                          <a:xfrm>
                            <a:off x="0" y="0"/>
                            <a:ext cx="1656080" cy="2448560"/>
                          </a:xfrm>
                          <a:prstGeom prst="rect">
                            <a:avLst/>
                          </a:prstGeom>
                        </pic:spPr>
                      </pic:pic>
                    </a:graphicData>
                  </a:graphic>
                  <wp14:sizeRelH relativeFrom="margin">
                    <wp14:pctWidth>0</wp14:pctWidth>
                  </wp14:sizeRelH>
                  <wp14:sizeRelV relativeFrom="margin">
                    <wp14:pctHeight>0</wp14:pctHeight>
                  </wp14:sizeRelV>
                </wp:anchor>
              </w:drawing>
            </w:r>
            <w:r w:rsidR="00E47461" w:rsidRPr="004E206D">
              <w:rPr>
                <w:rFonts w:ascii="Candara" w:eastAsia="Calibri" w:hAnsi="Candara"/>
                <w:b/>
                <w:color w:val="000000"/>
                <w:sz w:val="20"/>
                <w:szCs w:val="20"/>
              </w:rPr>
              <w:t>Le chantier-école réservé aux adolescents</w:t>
            </w:r>
            <w:r w:rsidR="00E47461" w:rsidRPr="00D21427">
              <w:rPr>
                <w:rFonts w:ascii="Candara" w:eastAsia="Calibri" w:hAnsi="Candara"/>
                <w:color w:val="000000"/>
                <w:sz w:val="20"/>
                <w:szCs w:val="20"/>
              </w:rPr>
              <w:t xml:space="preserve">, dirigé par l’équipe de Bibracte, est parvenu quant à lui </w:t>
            </w:r>
            <w:r w:rsidR="0029218A">
              <w:rPr>
                <w:rFonts w:ascii="Candara" w:eastAsia="Calibri" w:hAnsi="Candara"/>
                <w:color w:val="000000"/>
                <w:sz w:val="20"/>
                <w:szCs w:val="20"/>
              </w:rPr>
              <w:t xml:space="preserve">à </w:t>
            </w:r>
            <w:r w:rsidR="00E47461" w:rsidRPr="00D21427">
              <w:rPr>
                <w:rFonts w:ascii="Candara" w:eastAsia="Calibri" w:hAnsi="Candara"/>
                <w:color w:val="000000"/>
                <w:sz w:val="20"/>
                <w:szCs w:val="20"/>
              </w:rPr>
              <w:t>achever le dégagement de la grande maison romaine PC1, initié dès 1988 par l’université de Lausanne. La fouille a surtout concerné la principale salle de réception de la maison, située dans l’axe de l’entrée. D’une surface de  75</w:t>
            </w:r>
            <w:r w:rsidR="004E206D">
              <w:rPr>
                <w:rFonts w:ascii="Candara" w:eastAsia="Calibri" w:hAnsi="Candara"/>
                <w:color w:val="000000"/>
                <w:sz w:val="20"/>
                <w:szCs w:val="20"/>
              </w:rPr>
              <w:t> </w:t>
            </w:r>
            <w:r w:rsidR="00E47461" w:rsidRPr="00D21427">
              <w:rPr>
                <w:rFonts w:ascii="Candara" w:eastAsia="Calibri" w:hAnsi="Candara"/>
                <w:color w:val="000000"/>
                <w:sz w:val="20"/>
                <w:szCs w:val="20"/>
              </w:rPr>
              <w:t>m</w:t>
            </w:r>
            <w:r w:rsidR="00E47461" w:rsidRPr="00D21427">
              <w:rPr>
                <w:rFonts w:ascii="Candara" w:eastAsia="Calibri" w:hAnsi="Candara"/>
                <w:color w:val="000000"/>
                <w:sz w:val="20"/>
                <w:szCs w:val="20"/>
                <w:vertAlign w:val="superscript"/>
              </w:rPr>
              <w:t>2</w:t>
            </w:r>
            <w:r w:rsidR="00E47461" w:rsidRPr="00D21427">
              <w:rPr>
                <w:rFonts w:ascii="Candara" w:eastAsia="Calibri" w:hAnsi="Candara"/>
                <w:color w:val="000000"/>
                <w:sz w:val="20"/>
                <w:szCs w:val="20"/>
              </w:rPr>
              <w:t>, cette salle avait un sol couvert de mosaïque polychrome et un plafond décoré de stucs, dont on a pu collecter des fragments ténus mais significatifs. S’étendant sur plus de 3500 m</w:t>
            </w:r>
            <w:r w:rsidR="00E47461" w:rsidRPr="00D21427">
              <w:rPr>
                <w:rFonts w:ascii="Candara" w:eastAsia="Calibri" w:hAnsi="Candara"/>
                <w:color w:val="000000"/>
                <w:sz w:val="20"/>
                <w:szCs w:val="20"/>
                <w:vertAlign w:val="superscript"/>
              </w:rPr>
              <w:t>2</w:t>
            </w:r>
            <w:r w:rsidR="00E47461" w:rsidRPr="00D21427">
              <w:rPr>
                <w:rFonts w:ascii="Candara" w:eastAsia="Calibri" w:hAnsi="Candara"/>
                <w:color w:val="000000"/>
                <w:sz w:val="20"/>
                <w:szCs w:val="20"/>
              </w:rPr>
              <w:t xml:space="preserve">, les vestiges de ce qu’il faut bien considérer comme un palais urbain, apparaissent désormais dans toute leur ampleur. Les mois qui viennent verront parallèlement  l’achèvement de leur restauration, conduite dans le cadre d’un chantier d’insertion de l’association Tremplin – Homme et Patrimoine, et la préparation de la publication scientifique de la maison, exemple unique en Gaule de demeure aristocratique de style purement italique datée des tout débuts de l’Empire romain.  </w:t>
            </w:r>
          </w:p>
          <w:p w14:paraId="3972B0B3" w14:textId="77777777" w:rsidR="00E47461" w:rsidRPr="00D21427" w:rsidRDefault="00E47461" w:rsidP="00CD74D2">
            <w:pPr>
              <w:tabs>
                <w:tab w:val="left" w:pos="0"/>
              </w:tabs>
              <w:jc w:val="both"/>
              <w:rPr>
                <w:rFonts w:ascii="Candara" w:eastAsia="Calibri" w:hAnsi="Candara"/>
                <w:color w:val="000000"/>
                <w:sz w:val="20"/>
                <w:szCs w:val="20"/>
              </w:rPr>
            </w:pPr>
          </w:p>
          <w:p w14:paraId="7FF195D2" w14:textId="36667D20" w:rsidR="00E47461" w:rsidRPr="00D21427" w:rsidRDefault="00E47461" w:rsidP="00CD74D2">
            <w:pPr>
              <w:tabs>
                <w:tab w:val="left" w:pos="0"/>
              </w:tabs>
              <w:jc w:val="both"/>
              <w:rPr>
                <w:rFonts w:ascii="Candara" w:eastAsia="Calibri" w:hAnsi="Candara"/>
                <w:color w:val="000000"/>
                <w:sz w:val="20"/>
                <w:szCs w:val="20"/>
              </w:rPr>
            </w:pPr>
            <w:r w:rsidRPr="00D21427">
              <w:rPr>
                <w:rFonts w:ascii="Candara" w:hAnsi="Candara"/>
                <w:noProof/>
                <w:sz w:val="20"/>
                <w:szCs w:val="20"/>
              </w:rPr>
              <w:drawing>
                <wp:inline distT="0" distB="0" distL="0" distR="0" wp14:anchorId="14DB0F37" wp14:editId="32E37B9C">
                  <wp:extent cx="4358728" cy="2901950"/>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racte_8427.jpg"/>
                          <pic:cNvPicPr/>
                        </pic:nvPicPr>
                        <pic:blipFill>
                          <a:blip r:embed="rId13">
                            <a:extLst>
                              <a:ext uri="{28A0092B-C50C-407E-A947-70E740481C1C}">
                                <a14:useLocalDpi xmlns:a14="http://schemas.microsoft.com/office/drawing/2010/main" val="0"/>
                              </a:ext>
                            </a:extLst>
                          </a:blip>
                          <a:stretch>
                            <a:fillRect/>
                          </a:stretch>
                        </pic:blipFill>
                        <pic:spPr>
                          <a:xfrm>
                            <a:off x="0" y="0"/>
                            <a:ext cx="4364540" cy="2905819"/>
                          </a:xfrm>
                          <a:prstGeom prst="rect">
                            <a:avLst/>
                          </a:prstGeom>
                        </pic:spPr>
                      </pic:pic>
                    </a:graphicData>
                  </a:graphic>
                </wp:inline>
              </w:drawing>
            </w:r>
          </w:p>
          <w:p w14:paraId="3997BD55" w14:textId="77777777" w:rsidR="00441DFD" w:rsidRDefault="00E47461" w:rsidP="00E47461">
            <w:pPr>
              <w:tabs>
                <w:tab w:val="left" w:pos="0"/>
              </w:tabs>
              <w:jc w:val="both"/>
              <w:rPr>
                <w:rFonts w:ascii="Candara" w:eastAsia="Calibri" w:hAnsi="Candara"/>
                <w:i/>
                <w:color w:val="000000"/>
                <w:sz w:val="16"/>
                <w:szCs w:val="16"/>
              </w:rPr>
            </w:pPr>
            <w:r w:rsidRPr="00441DFD">
              <w:rPr>
                <w:rFonts w:ascii="Candara" w:eastAsia="Calibri" w:hAnsi="Candara"/>
                <w:i/>
                <w:color w:val="000000"/>
                <w:sz w:val="16"/>
                <w:szCs w:val="16"/>
              </w:rPr>
              <w:t xml:space="preserve">Les vestiges de la domus PC1. La pièce de réception fouillée en 2015 est au premier plan (fouille de Chiara Martini, Bibracte ; </w:t>
            </w:r>
          </w:p>
          <w:p w14:paraId="65EE4FB2" w14:textId="0D474651" w:rsidR="00E47461" w:rsidRPr="00441DFD" w:rsidRDefault="00E47461" w:rsidP="00E47461">
            <w:pPr>
              <w:tabs>
                <w:tab w:val="left" w:pos="0"/>
              </w:tabs>
              <w:jc w:val="both"/>
              <w:rPr>
                <w:rFonts w:ascii="Candara" w:eastAsia="Calibri" w:hAnsi="Candara"/>
                <w:i/>
                <w:color w:val="000000"/>
                <w:sz w:val="16"/>
                <w:szCs w:val="16"/>
              </w:rPr>
            </w:pPr>
            <w:r w:rsidRPr="00441DFD">
              <w:rPr>
                <w:rFonts w:ascii="Candara" w:eastAsia="Calibri" w:hAnsi="Candara"/>
                <w:i/>
                <w:color w:val="000000"/>
                <w:sz w:val="16"/>
                <w:szCs w:val="16"/>
              </w:rPr>
              <w:t>cl. Antoine Maillier 2015 BEU8427 / ©Bibracte).</w:t>
            </w:r>
          </w:p>
          <w:p w14:paraId="02613C24" w14:textId="77777777" w:rsidR="00441DFD" w:rsidRPr="00D21427" w:rsidRDefault="00441DFD" w:rsidP="00E47461">
            <w:pPr>
              <w:tabs>
                <w:tab w:val="left" w:pos="0"/>
              </w:tabs>
              <w:jc w:val="both"/>
              <w:rPr>
                <w:rFonts w:ascii="Candara" w:eastAsia="Calibri" w:hAnsi="Candara"/>
                <w:color w:val="000000"/>
                <w:sz w:val="20"/>
                <w:szCs w:val="20"/>
              </w:rPr>
            </w:pPr>
          </w:p>
          <w:p w14:paraId="402237C9" w14:textId="77777777" w:rsidR="00E47461" w:rsidRPr="00D21427" w:rsidRDefault="00E47461" w:rsidP="00E47461">
            <w:pPr>
              <w:tabs>
                <w:tab w:val="left" w:pos="0"/>
              </w:tabs>
              <w:jc w:val="both"/>
              <w:rPr>
                <w:rFonts w:ascii="Candara" w:eastAsia="Calibri" w:hAnsi="Candara"/>
                <w:color w:val="000000"/>
                <w:sz w:val="20"/>
                <w:szCs w:val="20"/>
              </w:rPr>
            </w:pPr>
            <w:r w:rsidRPr="00441DFD">
              <w:rPr>
                <w:rFonts w:ascii="Candara" w:eastAsia="Calibri" w:hAnsi="Candara"/>
                <w:b/>
                <w:color w:val="000000"/>
                <w:sz w:val="20"/>
                <w:szCs w:val="20"/>
              </w:rPr>
              <w:t>La campagne de 2016 verra l’achèvement d’un cycle quadriennal de recherche.</w:t>
            </w:r>
            <w:r w:rsidRPr="00D21427">
              <w:rPr>
                <w:rFonts w:ascii="Candara" w:eastAsia="Calibri" w:hAnsi="Candara"/>
                <w:color w:val="000000"/>
                <w:sz w:val="20"/>
                <w:szCs w:val="20"/>
              </w:rPr>
              <w:t xml:space="preserve"> On compte surtout compléter la fouille du complexe architectural du Parc aux Chevaux, qui enrichit considérablement le dossier encore très peu fourni de l’architecture publique dans les agglomérations de la fin de l’âge du Fer : ce type de découverte est à même de nous aider à apprécier le degré d’urbanisation atteint par ces agglomérations avant qu’elles soient affectées par la romanisation. Le secteur de la Pâture du Couvent accueillera quant à lui un chantier de restauration qui permettra d’achever la mise en valeur du complexe monumental construit à la mode romaine qui y avait été mis en évidence il y a quelques années.</w:t>
            </w:r>
          </w:p>
          <w:p w14:paraId="5C09E636" w14:textId="77777777" w:rsidR="00E47461" w:rsidRPr="00D21427" w:rsidRDefault="00E47461" w:rsidP="00CD74D2">
            <w:pPr>
              <w:tabs>
                <w:tab w:val="left" w:pos="0"/>
              </w:tabs>
              <w:jc w:val="both"/>
              <w:rPr>
                <w:rFonts w:ascii="Candara" w:eastAsia="Calibri" w:hAnsi="Candara"/>
                <w:color w:val="000000"/>
                <w:sz w:val="20"/>
                <w:szCs w:val="20"/>
              </w:rPr>
            </w:pPr>
          </w:p>
          <w:p w14:paraId="43A66F02" w14:textId="77777777" w:rsidR="006B68C5" w:rsidRDefault="006B68C5" w:rsidP="00F606E6">
            <w:pPr>
              <w:ind w:right="798"/>
              <w:jc w:val="both"/>
              <w:rPr>
                <w:rFonts w:ascii="Candara" w:eastAsia="Calibri" w:hAnsi="Candara"/>
                <w:color w:val="000000"/>
                <w:sz w:val="20"/>
                <w:szCs w:val="20"/>
              </w:rPr>
            </w:pPr>
          </w:p>
          <w:p w14:paraId="48AEB1C0" w14:textId="005CD71C" w:rsidR="006B68C5" w:rsidRPr="0029218A" w:rsidDel="008D2AB8" w:rsidRDefault="0029218A" w:rsidP="00C14123">
            <w:pPr>
              <w:pBdr>
                <w:top w:val="single" w:sz="4" w:space="1" w:color="auto"/>
                <w:left w:val="single" w:sz="4" w:space="4" w:color="auto"/>
                <w:bottom w:val="single" w:sz="4" w:space="1" w:color="auto"/>
                <w:right w:val="single" w:sz="4" w:space="4" w:color="auto"/>
              </w:pBdr>
              <w:tabs>
                <w:tab w:val="left" w:pos="9570"/>
              </w:tabs>
              <w:jc w:val="both"/>
              <w:rPr>
                <w:rFonts w:ascii="Candara" w:eastAsia="Calibri" w:hAnsi="Candara"/>
                <w:i/>
                <w:color w:val="000000"/>
                <w:sz w:val="20"/>
                <w:szCs w:val="20"/>
              </w:rPr>
            </w:pPr>
            <w:r w:rsidRPr="0029218A">
              <w:rPr>
                <w:rFonts w:ascii="Candara" w:eastAsia="Calibri" w:hAnsi="Candara"/>
                <w:i/>
                <w:color w:val="000000"/>
                <w:sz w:val="20"/>
                <w:szCs w:val="20"/>
              </w:rPr>
              <w:t>Les photos en haute définition sont disponibles sur demande à info@bibracte.fr</w:t>
            </w:r>
          </w:p>
          <w:p w14:paraId="2224ACEB" w14:textId="77777777" w:rsidR="00634AF7" w:rsidRDefault="00634AF7" w:rsidP="00C14123">
            <w:pPr>
              <w:ind w:right="798"/>
              <w:rPr>
                <w:rFonts w:ascii="Candara" w:eastAsia="Calibri" w:hAnsi="Candara"/>
                <w:color w:val="000000"/>
                <w:sz w:val="18"/>
                <w:szCs w:val="18"/>
              </w:rPr>
            </w:pPr>
          </w:p>
          <w:p w14:paraId="740A7275" w14:textId="77777777" w:rsidR="00634AF7" w:rsidRPr="005615C3" w:rsidRDefault="00634AF7" w:rsidP="002608D5">
            <w:pPr>
              <w:ind w:left="650" w:right="798"/>
              <w:jc w:val="center"/>
              <w:rPr>
                <w:rFonts w:ascii="Candara" w:eastAsia="Calibri" w:hAnsi="Candara"/>
                <w:color w:val="000000"/>
                <w:sz w:val="18"/>
                <w:szCs w:val="18"/>
              </w:rPr>
            </w:pPr>
          </w:p>
          <w:p w14:paraId="13466B4C" w14:textId="77777777" w:rsidR="00CE24BD" w:rsidRPr="005615C3" w:rsidRDefault="00CE24BD" w:rsidP="002608D5">
            <w:pPr>
              <w:ind w:left="650" w:right="798"/>
              <w:jc w:val="center"/>
              <w:rPr>
                <w:rFonts w:ascii="Candara" w:eastAsia="Calibri" w:hAnsi="Candara"/>
                <w:b/>
                <w:color w:val="000000"/>
                <w:sz w:val="18"/>
                <w:szCs w:val="18"/>
              </w:rPr>
            </w:pPr>
            <w:r w:rsidRPr="005615C3" w:rsidDel="008D2AB8">
              <w:rPr>
                <w:rFonts w:ascii="Candara" w:eastAsia="Calibri" w:hAnsi="Candara"/>
                <w:b/>
                <w:color w:val="000000"/>
                <w:sz w:val="18"/>
                <w:szCs w:val="18"/>
              </w:rPr>
              <w:t>Musée de Bibracte – Mont Beuvray – Morvan – Bourgogne</w:t>
            </w:r>
          </w:p>
          <w:p w14:paraId="0F8F04A0" w14:textId="77777777" w:rsidR="00CE24BD" w:rsidRPr="005615C3" w:rsidDel="008D2AB8" w:rsidRDefault="00CE24BD" w:rsidP="008D2AB8">
            <w:pPr>
              <w:ind w:left="650" w:right="798"/>
              <w:jc w:val="center"/>
              <w:rPr>
                <w:rFonts w:ascii="Candara" w:eastAsia="Calibri" w:hAnsi="Candara"/>
                <w:b/>
                <w:color w:val="000000"/>
                <w:sz w:val="18"/>
                <w:szCs w:val="18"/>
              </w:rPr>
            </w:pPr>
            <w:r w:rsidRPr="005615C3" w:rsidDel="008D2AB8">
              <w:rPr>
                <w:rFonts w:ascii="Candara" w:eastAsia="Calibri" w:hAnsi="Candara"/>
                <w:b/>
                <w:color w:val="000000"/>
                <w:sz w:val="18"/>
                <w:szCs w:val="18"/>
              </w:rPr>
              <w:t>71990 Saint-Léger-sous-Beuvray</w:t>
            </w:r>
          </w:p>
          <w:p w14:paraId="381D09AA" w14:textId="6A4FC565" w:rsidR="00CE24BD" w:rsidRPr="0077418A" w:rsidRDefault="0088553A" w:rsidP="003E1B4C">
            <w:pPr>
              <w:ind w:left="650" w:right="72"/>
              <w:jc w:val="center"/>
              <w:rPr>
                <w:rFonts w:ascii="Verdana" w:hAnsi="Verdana"/>
                <w:color w:val="000000"/>
                <w:sz w:val="20"/>
              </w:rPr>
            </w:pPr>
            <w:hyperlink r:id="rId14" w:history="1">
              <w:r w:rsidR="00CE24BD" w:rsidRPr="005615C3" w:rsidDel="008D2AB8">
                <w:rPr>
                  <w:rStyle w:val="Lienhype1"/>
                  <w:rFonts w:ascii="Candara" w:eastAsia="Calibri" w:hAnsi="Candara"/>
                  <w:b/>
                  <w:sz w:val="18"/>
                  <w:szCs w:val="18"/>
                </w:rPr>
                <w:t>www.bibracte.fr</w:t>
              </w:r>
            </w:hyperlink>
            <w:r w:rsidR="00CE24BD" w:rsidRPr="005615C3" w:rsidDel="008D2AB8">
              <w:rPr>
                <w:rFonts w:ascii="Candara" w:eastAsia="Calibri" w:hAnsi="Candara"/>
                <w:b/>
                <w:color w:val="000000"/>
                <w:sz w:val="18"/>
                <w:szCs w:val="18"/>
              </w:rPr>
              <w:t xml:space="preserve"> </w:t>
            </w:r>
            <w:r w:rsidR="005615C3">
              <w:rPr>
                <w:rFonts w:ascii="Candara" w:eastAsia="Calibri" w:hAnsi="Candara"/>
                <w:b/>
                <w:color w:val="000000"/>
                <w:sz w:val="18"/>
                <w:szCs w:val="18"/>
              </w:rPr>
              <w:t xml:space="preserve"> - </w:t>
            </w:r>
            <w:r w:rsidR="00CE24BD" w:rsidRPr="005615C3" w:rsidDel="008D2AB8">
              <w:rPr>
                <w:rFonts w:ascii="Candara" w:eastAsia="Calibri" w:hAnsi="Candara"/>
                <w:b/>
                <w:color w:val="000000"/>
                <w:sz w:val="18"/>
                <w:szCs w:val="18"/>
              </w:rPr>
              <w:t xml:space="preserve">Contact : 03 85 86 52 35 / </w:t>
            </w:r>
            <w:hyperlink r:id="rId15" w:history="1">
              <w:r w:rsidR="005615C3" w:rsidRPr="00982223" w:rsidDel="008D2AB8">
                <w:rPr>
                  <w:rStyle w:val="Lienhypertexte"/>
                  <w:rFonts w:ascii="Candara" w:eastAsia="Calibri" w:hAnsi="Candara"/>
                  <w:b/>
                  <w:sz w:val="18"/>
                  <w:szCs w:val="18"/>
                </w:rPr>
                <w:t>info@bibracte.fr</w:t>
              </w:r>
            </w:hyperlink>
          </w:p>
        </w:tc>
      </w:tr>
    </w:tbl>
    <w:p w14:paraId="5A2158CE" w14:textId="77777777" w:rsidR="00CE24BD" w:rsidRPr="00973158" w:rsidRDefault="00CE24BD" w:rsidP="00973158">
      <w:pPr>
        <w:rPr>
          <w:sz w:val="2"/>
          <w:szCs w:val="2"/>
        </w:rPr>
      </w:pPr>
    </w:p>
    <w:sectPr w:rsidR="00CE24BD" w:rsidRPr="00973158" w:rsidSect="00861F4A">
      <w:pgSz w:w="11906" w:h="16838"/>
      <w:pgMar w:top="238" w:right="1418" w:bottom="24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A4B8C"/>
    <w:multiLevelType w:val="hybridMultilevel"/>
    <w:tmpl w:val="FF8AE9AA"/>
    <w:lvl w:ilvl="0" w:tplc="60E25046">
      <w:numFmt w:val="bullet"/>
      <w:lvlText w:val="-"/>
      <w:lvlJc w:val="left"/>
      <w:pPr>
        <w:ind w:left="502" w:hanging="360"/>
      </w:pPr>
      <w:rPr>
        <w:rFonts w:ascii="Candara" w:eastAsia="Times New Roman" w:hAnsi="Candara" w:hint="default"/>
      </w:rPr>
    </w:lvl>
    <w:lvl w:ilvl="1" w:tplc="040C0003" w:tentative="1">
      <w:start w:val="1"/>
      <w:numFmt w:val="bullet"/>
      <w:lvlText w:val="o"/>
      <w:lvlJc w:val="left"/>
      <w:pPr>
        <w:ind w:left="1222" w:hanging="360"/>
      </w:pPr>
      <w:rPr>
        <w:rFonts w:ascii="Courier New" w:hAnsi="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F7E"/>
    <w:rsid w:val="00044DA0"/>
    <w:rsid w:val="000461E4"/>
    <w:rsid w:val="000556C7"/>
    <w:rsid w:val="00060E44"/>
    <w:rsid w:val="00062F7E"/>
    <w:rsid w:val="000632AD"/>
    <w:rsid w:val="00087353"/>
    <w:rsid w:val="000A185D"/>
    <w:rsid w:val="000B28C1"/>
    <w:rsid w:val="000B5CAE"/>
    <w:rsid w:val="000C7BA2"/>
    <w:rsid w:val="000D09B6"/>
    <w:rsid w:val="000D0C71"/>
    <w:rsid w:val="000F7FB0"/>
    <w:rsid w:val="00124AC1"/>
    <w:rsid w:val="00134134"/>
    <w:rsid w:val="00144682"/>
    <w:rsid w:val="0015122D"/>
    <w:rsid w:val="00195F70"/>
    <w:rsid w:val="001B1FFF"/>
    <w:rsid w:val="001C4419"/>
    <w:rsid w:val="001D1494"/>
    <w:rsid w:val="00200A85"/>
    <w:rsid w:val="00207F53"/>
    <w:rsid w:val="00214FA9"/>
    <w:rsid w:val="00226665"/>
    <w:rsid w:val="00235C0B"/>
    <w:rsid w:val="002376F0"/>
    <w:rsid w:val="00247345"/>
    <w:rsid w:val="002541BB"/>
    <w:rsid w:val="002608D5"/>
    <w:rsid w:val="0029218A"/>
    <w:rsid w:val="002B715A"/>
    <w:rsid w:val="002C00A6"/>
    <w:rsid w:val="002E307E"/>
    <w:rsid w:val="002E6F34"/>
    <w:rsid w:val="002F08A4"/>
    <w:rsid w:val="002F1951"/>
    <w:rsid w:val="002F363B"/>
    <w:rsid w:val="00301DAB"/>
    <w:rsid w:val="003308F4"/>
    <w:rsid w:val="00353EE3"/>
    <w:rsid w:val="00380D61"/>
    <w:rsid w:val="00397C08"/>
    <w:rsid w:val="003B0949"/>
    <w:rsid w:val="003B4CFE"/>
    <w:rsid w:val="003E1B4C"/>
    <w:rsid w:val="003F0168"/>
    <w:rsid w:val="003F6224"/>
    <w:rsid w:val="00411AF3"/>
    <w:rsid w:val="00441DFD"/>
    <w:rsid w:val="00456328"/>
    <w:rsid w:val="004671D1"/>
    <w:rsid w:val="00481314"/>
    <w:rsid w:val="004922D0"/>
    <w:rsid w:val="004E206D"/>
    <w:rsid w:val="004E4D25"/>
    <w:rsid w:val="004F56CE"/>
    <w:rsid w:val="005279BA"/>
    <w:rsid w:val="005324F3"/>
    <w:rsid w:val="005333B8"/>
    <w:rsid w:val="00533513"/>
    <w:rsid w:val="00535756"/>
    <w:rsid w:val="00547720"/>
    <w:rsid w:val="0055230A"/>
    <w:rsid w:val="0055605F"/>
    <w:rsid w:val="005615C3"/>
    <w:rsid w:val="00583C65"/>
    <w:rsid w:val="00591A6F"/>
    <w:rsid w:val="00592DF4"/>
    <w:rsid w:val="005A22B8"/>
    <w:rsid w:val="005B3E1B"/>
    <w:rsid w:val="005B5AFB"/>
    <w:rsid w:val="005B5E8D"/>
    <w:rsid w:val="005D4FC4"/>
    <w:rsid w:val="005F4B5D"/>
    <w:rsid w:val="00605FD6"/>
    <w:rsid w:val="00610C3E"/>
    <w:rsid w:val="0062384D"/>
    <w:rsid w:val="00627B9C"/>
    <w:rsid w:val="00634AF7"/>
    <w:rsid w:val="006627D1"/>
    <w:rsid w:val="006722F9"/>
    <w:rsid w:val="00685ED3"/>
    <w:rsid w:val="006B53A8"/>
    <w:rsid w:val="006B68C5"/>
    <w:rsid w:val="006C14DC"/>
    <w:rsid w:val="006C2BFF"/>
    <w:rsid w:val="006C2F52"/>
    <w:rsid w:val="006D143A"/>
    <w:rsid w:val="006D2583"/>
    <w:rsid w:val="006E0F2F"/>
    <w:rsid w:val="006E6F4C"/>
    <w:rsid w:val="0072430F"/>
    <w:rsid w:val="00743A2A"/>
    <w:rsid w:val="00744B90"/>
    <w:rsid w:val="00763422"/>
    <w:rsid w:val="0077418A"/>
    <w:rsid w:val="0079544B"/>
    <w:rsid w:val="00797EC1"/>
    <w:rsid w:val="007B21CF"/>
    <w:rsid w:val="007B7189"/>
    <w:rsid w:val="007C7542"/>
    <w:rsid w:val="007D3579"/>
    <w:rsid w:val="007E0494"/>
    <w:rsid w:val="007E6550"/>
    <w:rsid w:val="007F7BC7"/>
    <w:rsid w:val="00805F71"/>
    <w:rsid w:val="00806211"/>
    <w:rsid w:val="00814F83"/>
    <w:rsid w:val="00816E62"/>
    <w:rsid w:val="00861F4A"/>
    <w:rsid w:val="008819AD"/>
    <w:rsid w:val="0088553A"/>
    <w:rsid w:val="008A2B48"/>
    <w:rsid w:val="008C445F"/>
    <w:rsid w:val="008D2AB8"/>
    <w:rsid w:val="008E1D96"/>
    <w:rsid w:val="008F5C7C"/>
    <w:rsid w:val="00915770"/>
    <w:rsid w:val="00936CE3"/>
    <w:rsid w:val="00941B8E"/>
    <w:rsid w:val="00944A19"/>
    <w:rsid w:val="00946365"/>
    <w:rsid w:val="00951D14"/>
    <w:rsid w:val="00973158"/>
    <w:rsid w:val="00990D5E"/>
    <w:rsid w:val="009C6033"/>
    <w:rsid w:val="009C693D"/>
    <w:rsid w:val="009E24ED"/>
    <w:rsid w:val="009F54A2"/>
    <w:rsid w:val="009F6422"/>
    <w:rsid w:val="00A122F4"/>
    <w:rsid w:val="00A450D0"/>
    <w:rsid w:val="00A53C43"/>
    <w:rsid w:val="00A7214B"/>
    <w:rsid w:val="00A731D9"/>
    <w:rsid w:val="00A94DB1"/>
    <w:rsid w:val="00AC6509"/>
    <w:rsid w:val="00AD7867"/>
    <w:rsid w:val="00AE25CF"/>
    <w:rsid w:val="00AF02FC"/>
    <w:rsid w:val="00B05187"/>
    <w:rsid w:val="00B0611F"/>
    <w:rsid w:val="00B13C59"/>
    <w:rsid w:val="00B432B7"/>
    <w:rsid w:val="00B525FC"/>
    <w:rsid w:val="00B57938"/>
    <w:rsid w:val="00B907DB"/>
    <w:rsid w:val="00B911EC"/>
    <w:rsid w:val="00BE3C29"/>
    <w:rsid w:val="00BF39B8"/>
    <w:rsid w:val="00C14123"/>
    <w:rsid w:val="00C359DC"/>
    <w:rsid w:val="00C44200"/>
    <w:rsid w:val="00C71791"/>
    <w:rsid w:val="00CA0588"/>
    <w:rsid w:val="00CA0DAC"/>
    <w:rsid w:val="00CC7542"/>
    <w:rsid w:val="00CD74D2"/>
    <w:rsid w:val="00CE24BD"/>
    <w:rsid w:val="00CF42B5"/>
    <w:rsid w:val="00CF6E9E"/>
    <w:rsid w:val="00CF7913"/>
    <w:rsid w:val="00D007B3"/>
    <w:rsid w:val="00D041B4"/>
    <w:rsid w:val="00D10CEB"/>
    <w:rsid w:val="00D15B43"/>
    <w:rsid w:val="00D21427"/>
    <w:rsid w:val="00D50CF7"/>
    <w:rsid w:val="00D53163"/>
    <w:rsid w:val="00D54756"/>
    <w:rsid w:val="00D57FC2"/>
    <w:rsid w:val="00D92F55"/>
    <w:rsid w:val="00DA7D59"/>
    <w:rsid w:val="00DC5C9A"/>
    <w:rsid w:val="00DD5B17"/>
    <w:rsid w:val="00DE1EAC"/>
    <w:rsid w:val="00DE44EA"/>
    <w:rsid w:val="00DE4EBB"/>
    <w:rsid w:val="00DF6216"/>
    <w:rsid w:val="00E12398"/>
    <w:rsid w:val="00E152DD"/>
    <w:rsid w:val="00E16DB6"/>
    <w:rsid w:val="00E2330A"/>
    <w:rsid w:val="00E47461"/>
    <w:rsid w:val="00E57020"/>
    <w:rsid w:val="00E6325E"/>
    <w:rsid w:val="00E678D7"/>
    <w:rsid w:val="00E7781A"/>
    <w:rsid w:val="00E83993"/>
    <w:rsid w:val="00E90A03"/>
    <w:rsid w:val="00EA7681"/>
    <w:rsid w:val="00EC1F91"/>
    <w:rsid w:val="00EE19FF"/>
    <w:rsid w:val="00EE387E"/>
    <w:rsid w:val="00F2404A"/>
    <w:rsid w:val="00F41354"/>
    <w:rsid w:val="00F600CC"/>
    <w:rsid w:val="00F606E6"/>
    <w:rsid w:val="00F66D40"/>
    <w:rsid w:val="00F73464"/>
    <w:rsid w:val="00F74CCB"/>
    <w:rsid w:val="00F96ED5"/>
    <w:rsid w:val="00FB2C3C"/>
    <w:rsid w:val="00FB7D7B"/>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3D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F4A"/>
    <w:rPr>
      <w:rFonts w:ascii="Times New Roman" w:eastAsia="Times New Roman" w:hAnsi="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Norm">
    <w:name w:val="Tableau Norm"/>
    <w:uiPriority w:val="99"/>
    <w:semiHidden/>
    <w:rsid w:val="00353EE3"/>
    <w:tblPr>
      <w:tblInd w:w="0" w:type="dxa"/>
      <w:tblCellMar>
        <w:top w:w="0" w:type="dxa"/>
        <w:left w:w="108" w:type="dxa"/>
        <w:bottom w:w="0" w:type="dxa"/>
        <w:right w:w="108" w:type="dxa"/>
      </w:tblCellMar>
    </w:tblPr>
  </w:style>
  <w:style w:type="table" w:customStyle="1" w:styleId="TableauNorm6">
    <w:name w:val="Tableau Norm6"/>
    <w:uiPriority w:val="99"/>
    <w:semiHidden/>
    <w:rsid w:val="00E152DD"/>
    <w:tblPr>
      <w:tblInd w:w="0" w:type="dxa"/>
      <w:tblCellMar>
        <w:top w:w="0" w:type="dxa"/>
        <w:left w:w="108" w:type="dxa"/>
        <w:bottom w:w="0" w:type="dxa"/>
        <w:right w:w="108" w:type="dxa"/>
      </w:tblCellMar>
    </w:tblPr>
  </w:style>
  <w:style w:type="table" w:customStyle="1" w:styleId="TableauNorm5">
    <w:name w:val="Tableau Norm5"/>
    <w:uiPriority w:val="99"/>
    <w:semiHidden/>
    <w:rsid w:val="00946365"/>
    <w:tblPr>
      <w:tblInd w:w="0" w:type="dxa"/>
      <w:tblCellMar>
        <w:top w:w="0" w:type="dxa"/>
        <w:left w:w="108" w:type="dxa"/>
        <w:bottom w:w="0" w:type="dxa"/>
        <w:right w:w="108" w:type="dxa"/>
      </w:tblCellMar>
    </w:tblPr>
  </w:style>
  <w:style w:type="table" w:customStyle="1" w:styleId="TableauNorm4">
    <w:name w:val="Tableau Norm4"/>
    <w:uiPriority w:val="99"/>
    <w:semiHidden/>
    <w:rsid w:val="00592DF4"/>
    <w:tblPr>
      <w:tblInd w:w="0" w:type="dxa"/>
      <w:tblCellMar>
        <w:top w:w="0" w:type="dxa"/>
        <w:left w:w="108" w:type="dxa"/>
        <w:bottom w:w="0" w:type="dxa"/>
        <w:right w:w="108" w:type="dxa"/>
      </w:tblCellMar>
    </w:tblPr>
  </w:style>
  <w:style w:type="table" w:customStyle="1" w:styleId="TableauNorm3">
    <w:name w:val="Tableau Norm3"/>
    <w:uiPriority w:val="99"/>
    <w:semiHidden/>
    <w:rsid w:val="005B3E1B"/>
    <w:tblPr>
      <w:tblInd w:w="0" w:type="dxa"/>
      <w:tblCellMar>
        <w:top w:w="0" w:type="dxa"/>
        <w:left w:w="108" w:type="dxa"/>
        <w:bottom w:w="0" w:type="dxa"/>
        <w:right w:w="108" w:type="dxa"/>
      </w:tblCellMar>
    </w:tblPr>
  </w:style>
  <w:style w:type="table" w:customStyle="1" w:styleId="TableauNorm2">
    <w:name w:val="Tableau Norm2"/>
    <w:uiPriority w:val="99"/>
    <w:semiHidden/>
    <w:rsid w:val="00EC1F91"/>
    <w:tblPr>
      <w:tblInd w:w="0" w:type="dxa"/>
      <w:tblCellMar>
        <w:top w:w="0" w:type="dxa"/>
        <w:left w:w="108" w:type="dxa"/>
        <w:bottom w:w="0" w:type="dxa"/>
        <w:right w:w="108" w:type="dxa"/>
      </w:tblCellMar>
    </w:tblPr>
  </w:style>
  <w:style w:type="table" w:customStyle="1" w:styleId="TableauNorm1">
    <w:name w:val="Tableau Norm1"/>
    <w:uiPriority w:val="99"/>
    <w:semiHidden/>
    <w:rsid w:val="00F41354"/>
    <w:tblPr>
      <w:tblInd w:w="0" w:type="dxa"/>
      <w:tblCellMar>
        <w:top w:w="0" w:type="dxa"/>
        <w:left w:w="108" w:type="dxa"/>
        <w:bottom w:w="0" w:type="dxa"/>
        <w:right w:w="108" w:type="dxa"/>
      </w:tblCellMar>
    </w:tblPr>
  </w:style>
  <w:style w:type="character" w:customStyle="1" w:styleId="Lienhype">
    <w:name w:val="Lien hype"/>
    <w:basedOn w:val="Policepardfaut"/>
    <w:uiPriority w:val="99"/>
    <w:semiHidden/>
    <w:rsid w:val="00861F4A"/>
    <w:rPr>
      <w:rFonts w:cs="Times New Roman"/>
      <w:color w:val="0000FF"/>
      <w:u w:val="single"/>
    </w:rPr>
  </w:style>
  <w:style w:type="paragraph" w:customStyle="1" w:styleId="Textedebul">
    <w:name w:val="Texte de bul"/>
    <w:basedOn w:val="Normal"/>
    <w:uiPriority w:val="99"/>
    <w:semiHidden/>
    <w:rsid w:val="00861F4A"/>
    <w:rPr>
      <w:rFonts w:ascii="Tahoma" w:hAnsi="Tahoma" w:cs="Tahoma"/>
      <w:sz w:val="16"/>
      <w:szCs w:val="16"/>
    </w:rPr>
  </w:style>
  <w:style w:type="character" w:customStyle="1" w:styleId="BalloonTextChar">
    <w:name w:val="Balloon Text Char"/>
    <w:basedOn w:val="Policepardfaut"/>
    <w:uiPriority w:val="99"/>
    <w:semiHidden/>
    <w:rsid w:val="00861F4A"/>
    <w:rPr>
      <w:rFonts w:ascii="Tahoma" w:hAnsi="Tahoma" w:cs="Tahoma"/>
      <w:sz w:val="16"/>
      <w:lang w:eastAsia="fr-FR"/>
    </w:rPr>
  </w:style>
  <w:style w:type="table" w:styleId="Grilledutableau">
    <w:name w:val="Table Grid"/>
    <w:basedOn w:val="TableauNorm2"/>
    <w:uiPriority w:val="99"/>
    <w:rsid w:val="0053351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debul1">
    <w:name w:val="Texte de bul1"/>
    <w:basedOn w:val="Normal"/>
    <w:uiPriority w:val="99"/>
    <w:semiHidden/>
    <w:rsid w:val="005A22B8"/>
    <w:rPr>
      <w:rFonts w:ascii="Lucida Grande" w:hAnsi="Lucida Grande" w:cs="Lucida Grande"/>
      <w:sz w:val="18"/>
      <w:szCs w:val="18"/>
    </w:rPr>
  </w:style>
  <w:style w:type="character" w:customStyle="1" w:styleId="BalloonTextChar1">
    <w:name w:val="Balloon Text Char1"/>
    <w:basedOn w:val="Policepardfaut"/>
    <w:uiPriority w:val="99"/>
    <w:semiHidden/>
    <w:rsid w:val="005A22B8"/>
    <w:rPr>
      <w:rFonts w:ascii="Lucida Grande" w:hAnsi="Lucida Grande" w:cs="Lucida Grande"/>
      <w:sz w:val="18"/>
      <w:lang w:eastAsia="fr-FR"/>
    </w:rPr>
  </w:style>
  <w:style w:type="paragraph" w:styleId="Paragraphedeliste">
    <w:name w:val="List Paragraph"/>
    <w:basedOn w:val="Normal"/>
    <w:uiPriority w:val="99"/>
    <w:qFormat/>
    <w:rsid w:val="00060E44"/>
    <w:pPr>
      <w:ind w:left="720"/>
      <w:contextualSpacing/>
    </w:pPr>
  </w:style>
  <w:style w:type="paragraph" w:customStyle="1" w:styleId="txtsoustitre">
    <w:name w:val="txtsoustitre"/>
    <w:basedOn w:val="Normal"/>
    <w:uiPriority w:val="99"/>
    <w:rsid w:val="00B432B7"/>
    <w:pPr>
      <w:spacing w:before="100" w:beforeAutospacing="1" w:after="100" w:afterAutospacing="1"/>
    </w:pPr>
    <w:rPr>
      <w:rFonts w:ascii="Times" w:eastAsia="Calibri" w:hAnsi="Times"/>
      <w:sz w:val="20"/>
      <w:szCs w:val="20"/>
    </w:rPr>
  </w:style>
  <w:style w:type="character" w:customStyle="1" w:styleId="Lienhype1">
    <w:name w:val="Lien hype1"/>
    <w:basedOn w:val="Policepardfaut"/>
    <w:uiPriority w:val="99"/>
    <w:rsid w:val="00B432B7"/>
    <w:rPr>
      <w:rFonts w:cs="Times New Roman"/>
      <w:color w:val="0000FF"/>
      <w:u w:val="single"/>
    </w:rPr>
  </w:style>
  <w:style w:type="paragraph" w:styleId="Textedebulles">
    <w:name w:val="Balloon Text"/>
    <w:basedOn w:val="Normal"/>
    <w:link w:val="TextedebullesCar"/>
    <w:uiPriority w:val="99"/>
    <w:semiHidden/>
    <w:unhideWhenUsed/>
    <w:rsid w:val="00481314"/>
    <w:rPr>
      <w:rFonts w:ascii="Tahoma" w:hAnsi="Tahoma" w:cs="Tahoma"/>
      <w:sz w:val="16"/>
      <w:szCs w:val="16"/>
    </w:rPr>
  </w:style>
  <w:style w:type="character" w:customStyle="1" w:styleId="TextedebullesCar">
    <w:name w:val="Texte de bulles Car"/>
    <w:basedOn w:val="Policepardfaut"/>
    <w:link w:val="Textedebulles"/>
    <w:uiPriority w:val="99"/>
    <w:semiHidden/>
    <w:rsid w:val="00481314"/>
    <w:rPr>
      <w:rFonts w:ascii="Tahoma" w:eastAsia="Times New Roman" w:hAnsi="Tahoma" w:cs="Tahoma"/>
      <w:sz w:val="16"/>
      <w:szCs w:val="16"/>
      <w:lang w:eastAsia="fr-FR"/>
    </w:rPr>
  </w:style>
  <w:style w:type="character" w:styleId="Lienhypertexte">
    <w:name w:val="Hyperlink"/>
    <w:basedOn w:val="Policepardfaut"/>
    <w:uiPriority w:val="99"/>
    <w:unhideWhenUsed/>
    <w:rsid w:val="005615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F4A"/>
    <w:rPr>
      <w:rFonts w:ascii="Times New Roman" w:eastAsia="Times New Roman" w:hAnsi="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Norm">
    <w:name w:val="Tableau Norm"/>
    <w:uiPriority w:val="99"/>
    <w:semiHidden/>
    <w:rsid w:val="00353EE3"/>
    <w:tblPr>
      <w:tblInd w:w="0" w:type="dxa"/>
      <w:tblCellMar>
        <w:top w:w="0" w:type="dxa"/>
        <w:left w:w="108" w:type="dxa"/>
        <w:bottom w:w="0" w:type="dxa"/>
        <w:right w:w="108" w:type="dxa"/>
      </w:tblCellMar>
    </w:tblPr>
  </w:style>
  <w:style w:type="table" w:customStyle="1" w:styleId="TableauNorm6">
    <w:name w:val="Tableau Norm6"/>
    <w:uiPriority w:val="99"/>
    <w:semiHidden/>
    <w:rsid w:val="00E152DD"/>
    <w:tblPr>
      <w:tblInd w:w="0" w:type="dxa"/>
      <w:tblCellMar>
        <w:top w:w="0" w:type="dxa"/>
        <w:left w:w="108" w:type="dxa"/>
        <w:bottom w:w="0" w:type="dxa"/>
        <w:right w:w="108" w:type="dxa"/>
      </w:tblCellMar>
    </w:tblPr>
  </w:style>
  <w:style w:type="table" w:customStyle="1" w:styleId="TableauNorm5">
    <w:name w:val="Tableau Norm5"/>
    <w:uiPriority w:val="99"/>
    <w:semiHidden/>
    <w:rsid w:val="00946365"/>
    <w:tblPr>
      <w:tblInd w:w="0" w:type="dxa"/>
      <w:tblCellMar>
        <w:top w:w="0" w:type="dxa"/>
        <w:left w:w="108" w:type="dxa"/>
        <w:bottom w:w="0" w:type="dxa"/>
        <w:right w:w="108" w:type="dxa"/>
      </w:tblCellMar>
    </w:tblPr>
  </w:style>
  <w:style w:type="table" w:customStyle="1" w:styleId="TableauNorm4">
    <w:name w:val="Tableau Norm4"/>
    <w:uiPriority w:val="99"/>
    <w:semiHidden/>
    <w:rsid w:val="00592DF4"/>
    <w:tblPr>
      <w:tblInd w:w="0" w:type="dxa"/>
      <w:tblCellMar>
        <w:top w:w="0" w:type="dxa"/>
        <w:left w:w="108" w:type="dxa"/>
        <w:bottom w:w="0" w:type="dxa"/>
        <w:right w:w="108" w:type="dxa"/>
      </w:tblCellMar>
    </w:tblPr>
  </w:style>
  <w:style w:type="table" w:customStyle="1" w:styleId="TableauNorm3">
    <w:name w:val="Tableau Norm3"/>
    <w:uiPriority w:val="99"/>
    <w:semiHidden/>
    <w:rsid w:val="005B3E1B"/>
    <w:tblPr>
      <w:tblInd w:w="0" w:type="dxa"/>
      <w:tblCellMar>
        <w:top w:w="0" w:type="dxa"/>
        <w:left w:w="108" w:type="dxa"/>
        <w:bottom w:w="0" w:type="dxa"/>
        <w:right w:w="108" w:type="dxa"/>
      </w:tblCellMar>
    </w:tblPr>
  </w:style>
  <w:style w:type="table" w:customStyle="1" w:styleId="TableauNorm2">
    <w:name w:val="Tableau Norm2"/>
    <w:uiPriority w:val="99"/>
    <w:semiHidden/>
    <w:rsid w:val="00EC1F91"/>
    <w:tblPr>
      <w:tblInd w:w="0" w:type="dxa"/>
      <w:tblCellMar>
        <w:top w:w="0" w:type="dxa"/>
        <w:left w:w="108" w:type="dxa"/>
        <w:bottom w:w="0" w:type="dxa"/>
        <w:right w:w="108" w:type="dxa"/>
      </w:tblCellMar>
    </w:tblPr>
  </w:style>
  <w:style w:type="table" w:customStyle="1" w:styleId="TableauNorm1">
    <w:name w:val="Tableau Norm1"/>
    <w:uiPriority w:val="99"/>
    <w:semiHidden/>
    <w:rsid w:val="00F41354"/>
    <w:tblPr>
      <w:tblInd w:w="0" w:type="dxa"/>
      <w:tblCellMar>
        <w:top w:w="0" w:type="dxa"/>
        <w:left w:w="108" w:type="dxa"/>
        <w:bottom w:w="0" w:type="dxa"/>
        <w:right w:w="108" w:type="dxa"/>
      </w:tblCellMar>
    </w:tblPr>
  </w:style>
  <w:style w:type="character" w:customStyle="1" w:styleId="Lienhype">
    <w:name w:val="Lien hype"/>
    <w:basedOn w:val="Policepardfaut"/>
    <w:uiPriority w:val="99"/>
    <w:semiHidden/>
    <w:rsid w:val="00861F4A"/>
    <w:rPr>
      <w:rFonts w:cs="Times New Roman"/>
      <w:color w:val="0000FF"/>
      <w:u w:val="single"/>
    </w:rPr>
  </w:style>
  <w:style w:type="paragraph" w:customStyle="1" w:styleId="Textedebul">
    <w:name w:val="Texte de bul"/>
    <w:basedOn w:val="Normal"/>
    <w:uiPriority w:val="99"/>
    <w:semiHidden/>
    <w:rsid w:val="00861F4A"/>
    <w:rPr>
      <w:rFonts w:ascii="Tahoma" w:hAnsi="Tahoma" w:cs="Tahoma"/>
      <w:sz w:val="16"/>
      <w:szCs w:val="16"/>
    </w:rPr>
  </w:style>
  <w:style w:type="character" w:customStyle="1" w:styleId="BalloonTextChar">
    <w:name w:val="Balloon Text Char"/>
    <w:basedOn w:val="Policepardfaut"/>
    <w:uiPriority w:val="99"/>
    <w:semiHidden/>
    <w:rsid w:val="00861F4A"/>
    <w:rPr>
      <w:rFonts w:ascii="Tahoma" w:hAnsi="Tahoma" w:cs="Tahoma"/>
      <w:sz w:val="16"/>
      <w:lang w:eastAsia="fr-FR"/>
    </w:rPr>
  </w:style>
  <w:style w:type="table" w:styleId="Grilledutableau">
    <w:name w:val="Table Grid"/>
    <w:basedOn w:val="TableauNorm2"/>
    <w:uiPriority w:val="99"/>
    <w:rsid w:val="0053351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debul1">
    <w:name w:val="Texte de bul1"/>
    <w:basedOn w:val="Normal"/>
    <w:uiPriority w:val="99"/>
    <w:semiHidden/>
    <w:rsid w:val="005A22B8"/>
    <w:rPr>
      <w:rFonts w:ascii="Lucida Grande" w:hAnsi="Lucida Grande" w:cs="Lucida Grande"/>
      <w:sz w:val="18"/>
      <w:szCs w:val="18"/>
    </w:rPr>
  </w:style>
  <w:style w:type="character" w:customStyle="1" w:styleId="BalloonTextChar1">
    <w:name w:val="Balloon Text Char1"/>
    <w:basedOn w:val="Policepardfaut"/>
    <w:uiPriority w:val="99"/>
    <w:semiHidden/>
    <w:rsid w:val="005A22B8"/>
    <w:rPr>
      <w:rFonts w:ascii="Lucida Grande" w:hAnsi="Lucida Grande" w:cs="Lucida Grande"/>
      <w:sz w:val="18"/>
      <w:lang w:eastAsia="fr-FR"/>
    </w:rPr>
  </w:style>
  <w:style w:type="paragraph" w:styleId="Paragraphedeliste">
    <w:name w:val="List Paragraph"/>
    <w:basedOn w:val="Normal"/>
    <w:uiPriority w:val="99"/>
    <w:qFormat/>
    <w:rsid w:val="00060E44"/>
    <w:pPr>
      <w:ind w:left="720"/>
      <w:contextualSpacing/>
    </w:pPr>
  </w:style>
  <w:style w:type="paragraph" w:customStyle="1" w:styleId="txtsoustitre">
    <w:name w:val="txtsoustitre"/>
    <w:basedOn w:val="Normal"/>
    <w:uiPriority w:val="99"/>
    <w:rsid w:val="00B432B7"/>
    <w:pPr>
      <w:spacing w:before="100" w:beforeAutospacing="1" w:after="100" w:afterAutospacing="1"/>
    </w:pPr>
    <w:rPr>
      <w:rFonts w:ascii="Times" w:eastAsia="Calibri" w:hAnsi="Times"/>
      <w:sz w:val="20"/>
      <w:szCs w:val="20"/>
    </w:rPr>
  </w:style>
  <w:style w:type="character" w:customStyle="1" w:styleId="Lienhype1">
    <w:name w:val="Lien hype1"/>
    <w:basedOn w:val="Policepardfaut"/>
    <w:uiPriority w:val="99"/>
    <w:rsid w:val="00B432B7"/>
    <w:rPr>
      <w:rFonts w:cs="Times New Roman"/>
      <w:color w:val="0000FF"/>
      <w:u w:val="single"/>
    </w:rPr>
  </w:style>
  <w:style w:type="paragraph" w:styleId="Textedebulles">
    <w:name w:val="Balloon Text"/>
    <w:basedOn w:val="Normal"/>
    <w:link w:val="TextedebullesCar"/>
    <w:uiPriority w:val="99"/>
    <w:semiHidden/>
    <w:unhideWhenUsed/>
    <w:rsid w:val="00481314"/>
    <w:rPr>
      <w:rFonts w:ascii="Tahoma" w:hAnsi="Tahoma" w:cs="Tahoma"/>
      <w:sz w:val="16"/>
      <w:szCs w:val="16"/>
    </w:rPr>
  </w:style>
  <w:style w:type="character" w:customStyle="1" w:styleId="TextedebullesCar">
    <w:name w:val="Texte de bulles Car"/>
    <w:basedOn w:val="Policepardfaut"/>
    <w:link w:val="Textedebulles"/>
    <w:uiPriority w:val="99"/>
    <w:semiHidden/>
    <w:rsid w:val="00481314"/>
    <w:rPr>
      <w:rFonts w:ascii="Tahoma" w:eastAsia="Times New Roman" w:hAnsi="Tahoma" w:cs="Tahoma"/>
      <w:sz w:val="16"/>
      <w:szCs w:val="16"/>
      <w:lang w:eastAsia="fr-FR"/>
    </w:rPr>
  </w:style>
  <w:style w:type="character" w:styleId="Lienhypertexte">
    <w:name w:val="Hyperlink"/>
    <w:basedOn w:val="Policepardfaut"/>
    <w:uiPriority w:val="99"/>
    <w:unhideWhenUsed/>
    <w:rsid w:val="005615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hyperlink" Target="mailto:info@bibracte.fr" TargetMode="Externa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http://www.bibracte.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75DBB-362D-4518-87D2-9BE1273A6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1451</Words>
  <Characters>7983</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Flouest</dc:creator>
  <cp:lastModifiedBy>Patricial Lepaul</cp:lastModifiedBy>
  <cp:revision>4</cp:revision>
  <cp:lastPrinted>2015-12-04T09:24:00Z</cp:lastPrinted>
  <dcterms:created xsi:type="dcterms:W3CDTF">2015-12-04T11:40:00Z</dcterms:created>
  <dcterms:modified xsi:type="dcterms:W3CDTF">2015-12-04T13:30:00Z</dcterms:modified>
</cp:coreProperties>
</file>