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D0444E" w14:textId="469126F0" w:rsidR="00E030AF" w:rsidRPr="00E030AF" w:rsidRDefault="00E030AF" w:rsidP="00E030AF">
      <w:pPr>
        <w:tabs>
          <w:tab w:val="left" w:pos="3290"/>
        </w:tabs>
        <w:sectPr w:rsidR="00E030AF" w:rsidRPr="00E030AF" w:rsidSect="002151F8">
          <w:footerReference w:type="even" r:id="rId8"/>
          <w:footerReference w:type="default" r:id="rId9"/>
          <w:type w:val="evenPage"/>
          <w:pgSz w:w="11906" w:h="16838"/>
          <w:pgMar w:top="964" w:right="1304" w:bottom="1134" w:left="1304" w:header="709" w:footer="709" w:gutter="0"/>
          <w:cols w:space="708"/>
          <w:docGrid w:linePitch="360"/>
        </w:sectPr>
      </w:pPr>
      <w:bookmarkStart w:id="0" w:name="_Toc185425560"/>
      <w:r>
        <w:rPr>
          <w:rFonts w:eastAsiaTheme="majorEastAsia" w:cstheme="majorBidi"/>
          <w:b/>
          <w:spacing w:val="-10"/>
          <w:kern w:val="28"/>
          <w:sz w:val="32"/>
          <w:szCs w:val="32"/>
        </w:rPr>
        <w:tab/>
      </w:r>
      <w:r>
        <w:rPr>
          <w:noProof/>
        </w:rPr>
        <w:drawing>
          <wp:inline distT="0" distB="0" distL="0" distR="0" wp14:anchorId="725A3507" wp14:editId="60941DD5">
            <wp:extent cx="5904230" cy="8528050"/>
            <wp:effectExtent l="0" t="0" r="1270" b="6350"/>
            <wp:docPr id="131990095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04230" cy="8528050"/>
                    </a:xfrm>
                    <a:prstGeom prst="rect">
                      <a:avLst/>
                    </a:prstGeom>
                    <a:noFill/>
                    <a:ln>
                      <a:noFill/>
                    </a:ln>
                  </pic:spPr>
                </pic:pic>
              </a:graphicData>
            </a:graphic>
          </wp:inline>
        </w:drawing>
      </w:r>
    </w:p>
    <w:p w14:paraId="05D94958" w14:textId="77777777" w:rsidR="005C7F42" w:rsidRDefault="005C7F42" w:rsidP="00620E44">
      <w:pPr>
        <w:pStyle w:val="Titre"/>
        <w:rPr>
          <w:b/>
        </w:rPr>
      </w:pPr>
      <w:r>
        <w:rPr>
          <w:b/>
        </w:rPr>
        <w:lastRenderedPageBreak/>
        <w:t xml:space="preserve">Objectifs du cours </w:t>
      </w:r>
    </w:p>
    <w:p w14:paraId="7BDF62BF" w14:textId="77777777" w:rsidR="005C7F42" w:rsidRDefault="005C7F42" w:rsidP="005C7F42">
      <w:r>
        <w:t>Cette unité d'enseignement (UE) vous permet de découvrir l'histoire de la France de la première modernité, de la fin du Moyen Âge à la Fronde.</w:t>
      </w:r>
      <w:r>
        <w:rPr>
          <w:rFonts w:ascii="MS Mincho" w:eastAsia="MS Mincho" w:hAnsi="MS Mincho" w:cs="MS Mincho" w:hint="eastAsia"/>
        </w:rPr>
        <w:t> </w:t>
      </w:r>
      <w:r>
        <w:t>Il s’agit de vous donner les bases fondamentales pour comprendre l'histoire générale du royaume à cette époque. En TD, nous nous concentrerons d'abord sur l'exercice du commentaire de document(s), à la base du métier d'</w:t>
      </w:r>
      <w:proofErr w:type="spellStart"/>
      <w:r>
        <w:t>historien-ne</w:t>
      </w:r>
      <w:proofErr w:type="spellEnd"/>
      <w:r>
        <w:t xml:space="preserve">. Dans une moindre mesure, nous aborderons également l’exercice de la dissertation. À la fin du semestre, vous maîtriserez suffisamment ces exercices académiques pour les réaliser de façon autonome une fois en L2. </w:t>
      </w:r>
    </w:p>
    <w:p w14:paraId="43DC38EA" w14:textId="77777777" w:rsidR="005C7F42" w:rsidRDefault="005C7F42" w:rsidP="005C7F42">
      <w:r>
        <w:t xml:space="preserve">Au fil du semestre, vous serez d'abord </w:t>
      </w:r>
      <w:proofErr w:type="spellStart"/>
      <w:r>
        <w:t>évalué-e</w:t>
      </w:r>
      <w:proofErr w:type="spellEnd"/>
      <w:r>
        <w:t xml:space="preserve"> sur les connaissances vues en cours, sous la forme de questionnaires. Ensuite, vous composerez une copie plus ou moins longue à deux reprises dans le semestre, pendant les séances. Vous devrez </w:t>
      </w:r>
      <w:r w:rsidR="00472F96">
        <w:t xml:space="preserve">ainsi </w:t>
      </w:r>
      <w:r>
        <w:t xml:space="preserve">rendre une introduction rédigée en fin de séance 3. Vous composerez, en séance 8, un commentaire entier, appuyé sur le texte analysé en cours pendant la séance précédente. </w:t>
      </w:r>
    </w:p>
    <w:p w14:paraId="728048D7" w14:textId="77777777" w:rsidR="005C7F42" w:rsidRDefault="005C7F42" w:rsidP="005C7F42">
      <w:r>
        <w:t xml:space="preserve">À la fin du semestre, vous saurez : 1/ présenter une source primaire ou secondaire et la replacer dans son contexte de production ; 2/ associer à une source un ensemble de connaissances externes nécessaires pour l’expliquer ; 3/ présenter et situer un écrit scientifique en histoire ; situer </w:t>
      </w:r>
      <w:proofErr w:type="spellStart"/>
      <w:r>
        <w:t>un-e</w:t>
      </w:r>
      <w:proofErr w:type="spellEnd"/>
      <w:r>
        <w:t xml:space="preserve"> </w:t>
      </w:r>
      <w:proofErr w:type="spellStart"/>
      <w:r>
        <w:t>auteur-e</w:t>
      </w:r>
      <w:proofErr w:type="spellEnd"/>
      <w:r>
        <w:t xml:space="preserve"> dans et hors de la sphère universitaire ; hiérarchiser les formats de publications touchant à l’histoire. </w:t>
      </w:r>
    </w:p>
    <w:p w14:paraId="3E774629" w14:textId="77777777" w:rsidR="003C37DD" w:rsidRDefault="003C37DD" w:rsidP="005C7F42">
      <w:pPr>
        <w:pStyle w:val="Titre"/>
        <w:spacing w:before="480"/>
        <w:rPr>
          <w:b/>
        </w:rPr>
      </w:pPr>
      <w:r>
        <w:rPr>
          <w:b/>
        </w:rPr>
        <w:t>Table des matières</w:t>
      </w:r>
      <w:bookmarkEnd w:id="0"/>
      <w:r w:rsidR="005C7F42">
        <w:rPr>
          <w:b/>
        </w:rPr>
        <w:t xml:space="preserve"> </w:t>
      </w:r>
    </w:p>
    <w:p w14:paraId="00CB55A9" w14:textId="77777777" w:rsidR="004954AF" w:rsidRPr="004954AF" w:rsidRDefault="004954AF" w:rsidP="004954AF">
      <w:pPr>
        <w:pStyle w:val="TM1"/>
        <w:rPr>
          <w:rFonts w:ascii="Garamond" w:eastAsiaTheme="minorEastAsia" w:hAnsi="Garamond" w:cstheme="minorBidi"/>
          <w:b w:val="0"/>
          <w:noProof/>
          <w:lang w:eastAsia="fr-FR"/>
        </w:rPr>
      </w:pPr>
      <w:r w:rsidRPr="004954AF">
        <w:fldChar w:fldCharType="begin"/>
      </w:r>
      <w:r w:rsidRPr="004954AF">
        <w:instrText xml:space="preserve"> TOC \h \z \t "Titre;1" </w:instrText>
      </w:r>
      <w:r w:rsidRPr="004954AF">
        <w:fldChar w:fldCharType="separate"/>
      </w:r>
      <w:hyperlink w:anchor="_Toc185425561" w:history="1">
        <w:r w:rsidRPr="004954AF">
          <w:rPr>
            <w:rStyle w:val="Lienhypertexte"/>
            <w:rFonts w:ascii="Garamond" w:hAnsi="Garamond"/>
            <w:b w:val="0"/>
            <w:noProof/>
            <w:sz w:val="24"/>
            <w:szCs w:val="24"/>
          </w:rPr>
          <w:t>Programme du semestre</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_Toc185425561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3</w:t>
        </w:r>
        <w:r w:rsidRPr="004954AF">
          <w:rPr>
            <w:rFonts w:ascii="Garamond" w:hAnsi="Garamond"/>
            <w:b w:val="0"/>
            <w:noProof/>
            <w:webHidden/>
          </w:rPr>
          <w:fldChar w:fldCharType="end"/>
        </w:r>
      </w:hyperlink>
    </w:p>
    <w:p w14:paraId="13A1E1CE" w14:textId="77777777" w:rsidR="004954AF" w:rsidRPr="004954AF" w:rsidRDefault="004954AF" w:rsidP="004954AF">
      <w:pPr>
        <w:pStyle w:val="TM1"/>
        <w:rPr>
          <w:rFonts w:ascii="Garamond" w:eastAsiaTheme="minorEastAsia" w:hAnsi="Garamond" w:cstheme="minorBidi"/>
          <w:b w:val="0"/>
          <w:noProof/>
          <w:lang w:eastAsia="fr-FR"/>
        </w:rPr>
      </w:pPr>
      <w:hyperlink w:anchor="_Toc185425562" w:history="1">
        <w:r w:rsidRPr="004954AF">
          <w:rPr>
            <w:rStyle w:val="Lienhypertexte"/>
            <w:rFonts w:ascii="Garamond" w:hAnsi="Garamond"/>
            <w:b w:val="0"/>
            <w:noProof/>
            <w:sz w:val="24"/>
            <w:szCs w:val="24"/>
          </w:rPr>
          <w:t>Modalités d’évaluation</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_Toc185425562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4</w:t>
        </w:r>
        <w:r w:rsidRPr="004954AF">
          <w:rPr>
            <w:rFonts w:ascii="Garamond" w:hAnsi="Garamond"/>
            <w:b w:val="0"/>
            <w:noProof/>
            <w:webHidden/>
          </w:rPr>
          <w:fldChar w:fldCharType="end"/>
        </w:r>
      </w:hyperlink>
    </w:p>
    <w:p w14:paraId="44605229" w14:textId="77777777" w:rsidR="004954AF" w:rsidRPr="004954AF" w:rsidRDefault="004954AF" w:rsidP="004954AF">
      <w:pPr>
        <w:pStyle w:val="TM1"/>
        <w:rPr>
          <w:rFonts w:ascii="Garamond" w:eastAsiaTheme="minorEastAsia" w:hAnsi="Garamond" w:cstheme="minorBidi"/>
          <w:b w:val="0"/>
          <w:noProof/>
          <w:lang w:eastAsia="fr-FR"/>
        </w:rPr>
      </w:pPr>
      <w:hyperlink w:anchor="_Toc185425563" w:history="1">
        <w:r w:rsidRPr="004954AF">
          <w:rPr>
            <w:rStyle w:val="Lienhypertexte"/>
            <w:rFonts w:ascii="Garamond" w:hAnsi="Garamond"/>
            <w:b w:val="0"/>
            <w:noProof/>
            <w:sz w:val="24"/>
            <w:szCs w:val="24"/>
          </w:rPr>
          <w:t>Séance 1. Identifier un document et comprendre ses usages</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_Toc185425563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5</w:t>
        </w:r>
        <w:r w:rsidRPr="004954AF">
          <w:rPr>
            <w:rFonts w:ascii="Garamond" w:hAnsi="Garamond"/>
            <w:b w:val="0"/>
            <w:noProof/>
            <w:webHidden/>
          </w:rPr>
          <w:fldChar w:fldCharType="end"/>
        </w:r>
      </w:hyperlink>
    </w:p>
    <w:p w14:paraId="3E3CC852" w14:textId="77777777" w:rsidR="004954AF" w:rsidRPr="004954AF" w:rsidRDefault="004954AF" w:rsidP="004954AF">
      <w:pPr>
        <w:pStyle w:val="TM1"/>
        <w:rPr>
          <w:rFonts w:ascii="Garamond" w:eastAsiaTheme="minorEastAsia" w:hAnsi="Garamond" w:cstheme="minorBidi"/>
          <w:b w:val="0"/>
          <w:noProof/>
          <w:lang w:eastAsia="fr-FR"/>
        </w:rPr>
      </w:pPr>
      <w:hyperlink w:anchor="_Toc185425564" w:history="1">
        <w:r w:rsidRPr="004954AF">
          <w:rPr>
            <w:rStyle w:val="Lienhypertexte"/>
            <w:rFonts w:ascii="Garamond" w:hAnsi="Garamond"/>
            <w:b w:val="0"/>
            <w:noProof/>
            <w:sz w:val="24"/>
            <w:szCs w:val="24"/>
          </w:rPr>
          <w:t>Séance 2. Dépouiller et présenter une source et la remettre en contexte</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_Toc185425564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8</w:t>
        </w:r>
        <w:r w:rsidRPr="004954AF">
          <w:rPr>
            <w:rFonts w:ascii="Garamond" w:hAnsi="Garamond"/>
            <w:b w:val="0"/>
            <w:noProof/>
            <w:webHidden/>
          </w:rPr>
          <w:fldChar w:fldCharType="end"/>
        </w:r>
      </w:hyperlink>
    </w:p>
    <w:p w14:paraId="3CDDD6A5" w14:textId="77777777" w:rsidR="004954AF" w:rsidRPr="004954AF" w:rsidRDefault="004954AF" w:rsidP="004954AF">
      <w:pPr>
        <w:pStyle w:val="TM1"/>
        <w:rPr>
          <w:rFonts w:ascii="Garamond" w:eastAsiaTheme="minorEastAsia" w:hAnsi="Garamond" w:cstheme="minorBidi"/>
          <w:b w:val="0"/>
          <w:noProof/>
          <w:lang w:eastAsia="fr-FR"/>
        </w:rPr>
      </w:pPr>
      <w:hyperlink w:anchor="_Toc185425565" w:history="1">
        <w:r w:rsidRPr="004954AF">
          <w:rPr>
            <w:rStyle w:val="Lienhypertexte"/>
            <w:rFonts w:ascii="Garamond" w:hAnsi="Garamond"/>
            <w:b w:val="0"/>
            <w:noProof/>
            <w:sz w:val="24"/>
            <w:szCs w:val="24"/>
          </w:rPr>
          <w:t>Séance 3-1. Écrire une introduction de commentaire</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_Toc185425565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12</w:t>
        </w:r>
        <w:r w:rsidRPr="004954AF">
          <w:rPr>
            <w:rFonts w:ascii="Garamond" w:hAnsi="Garamond"/>
            <w:b w:val="0"/>
            <w:noProof/>
            <w:webHidden/>
          </w:rPr>
          <w:fldChar w:fldCharType="end"/>
        </w:r>
      </w:hyperlink>
    </w:p>
    <w:p w14:paraId="25803E27" w14:textId="77777777" w:rsidR="004954AF" w:rsidRPr="004954AF" w:rsidRDefault="004954AF" w:rsidP="004954AF">
      <w:pPr>
        <w:pStyle w:val="TM1"/>
        <w:rPr>
          <w:rFonts w:ascii="Garamond" w:eastAsiaTheme="minorEastAsia" w:hAnsi="Garamond" w:cstheme="minorBidi"/>
          <w:b w:val="0"/>
          <w:noProof/>
          <w:lang w:eastAsia="fr-FR"/>
        </w:rPr>
      </w:pPr>
      <w:hyperlink w:anchor="_Toc185425566" w:history="1">
        <w:r w:rsidRPr="004954AF">
          <w:rPr>
            <w:rStyle w:val="Lienhypertexte"/>
            <w:rFonts w:ascii="Garamond" w:hAnsi="Garamond"/>
            <w:b w:val="0"/>
            <w:noProof/>
            <w:sz w:val="24"/>
            <w:szCs w:val="24"/>
          </w:rPr>
          <w:t>Séance 3-2. Écrire une introduction de commentaire</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_Toc185425566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16</w:t>
        </w:r>
        <w:r w:rsidRPr="004954AF">
          <w:rPr>
            <w:rFonts w:ascii="Garamond" w:hAnsi="Garamond"/>
            <w:b w:val="0"/>
            <w:noProof/>
            <w:webHidden/>
          </w:rPr>
          <w:fldChar w:fldCharType="end"/>
        </w:r>
      </w:hyperlink>
    </w:p>
    <w:p w14:paraId="43DD1936" w14:textId="77777777" w:rsidR="004954AF" w:rsidRPr="004954AF" w:rsidRDefault="004954AF" w:rsidP="004954AF">
      <w:pPr>
        <w:pStyle w:val="TM1"/>
        <w:rPr>
          <w:rFonts w:ascii="Garamond" w:eastAsiaTheme="minorEastAsia" w:hAnsi="Garamond" w:cstheme="minorBidi"/>
          <w:b w:val="0"/>
          <w:noProof/>
          <w:lang w:eastAsia="fr-FR"/>
        </w:rPr>
      </w:pPr>
      <w:hyperlink w:anchor="_Toc185425567" w:history="1">
        <w:r w:rsidRPr="004954AF">
          <w:rPr>
            <w:rStyle w:val="Lienhypertexte"/>
            <w:rFonts w:ascii="Garamond" w:hAnsi="Garamond"/>
            <w:b w:val="0"/>
            <w:noProof/>
            <w:sz w:val="24"/>
            <w:szCs w:val="24"/>
          </w:rPr>
          <w:t>Séance 4. Apporter des connaissances externes à une source</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_Toc185425567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20</w:t>
        </w:r>
        <w:r w:rsidRPr="004954AF">
          <w:rPr>
            <w:rFonts w:ascii="Garamond" w:hAnsi="Garamond"/>
            <w:b w:val="0"/>
            <w:noProof/>
            <w:webHidden/>
          </w:rPr>
          <w:fldChar w:fldCharType="end"/>
        </w:r>
      </w:hyperlink>
    </w:p>
    <w:p w14:paraId="141D0B8E" w14:textId="77777777" w:rsidR="004954AF" w:rsidRPr="004954AF" w:rsidRDefault="004954AF" w:rsidP="004954AF">
      <w:pPr>
        <w:pStyle w:val="TM1"/>
        <w:rPr>
          <w:rFonts w:ascii="Garamond" w:eastAsiaTheme="minorEastAsia" w:hAnsi="Garamond" w:cstheme="minorBidi"/>
          <w:b w:val="0"/>
          <w:noProof/>
          <w:lang w:eastAsia="fr-FR"/>
        </w:rPr>
      </w:pPr>
      <w:hyperlink w:anchor="_Toc185425568" w:history="1">
        <w:r w:rsidRPr="004954AF">
          <w:rPr>
            <w:rStyle w:val="Lienhypertexte"/>
            <w:rFonts w:ascii="Garamond" w:hAnsi="Garamond"/>
            <w:b w:val="0"/>
            <w:noProof/>
            <w:sz w:val="24"/>
            <w:szCs w:val="24"/>
          </w:rPr>
          <w:t>Séance 5-1. Structurer une explication de document</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_Toc185425568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22</w:t>
        </w:r>
        <w:r w:rsidRPr="004954AF">
          <w:rPr>
            <w:rFonts w:ascii="Garamond" w:hAnsi="Garamond"/>
            <w:b w:val="0"/>
            <w:noProof/>
            <w:webHidden/>
          </w:rPr>
          <w:fldChar w:fldCharType="end"/>
        </w:r>
      </w:hyperlink>
    </w:p>
    <w:p w14:paraId="3950FF62" w14:textId="77777777" w:rsidR="004954AF" w:rsidRPr="004954AF" w:rsidRDefault="004954AF" w:rsidP="004954AF">
      <w:pPr>
        <w:pStyle w:val="TM1"/>
        <w:rPr>
          <w:rFonts w:ascii="Garamond" w:eastAsiaTheme="minorEastAsia" w:hAnsi="Garamond" w:cstheme="minorBidi"/>
          <w:b w:val="0"/>
          <w:noProof/>
          <w:lang w:eastAsia="fr-FR"/>
        </w:rPr>
      </w:pPr>
      <w:hyperlink w:anchor="_Toc185425569" w:history="1">
        <w:r w:rsidRPr="004954AF">
          <w:rPr>
            <w:rStyle w:val="Lienhypertexte"/>
            <w:rFonts w:ascii="Garamond" w:hAnsi="Garamond"/>
            <w:b w:val="0"/>
            <w:noProof/>
            <w:sz w:val="24"/>
            <w:szCs w:val="24"/>
          </w:rPr>
          <w:t>Séance 5-2. Structurer une explication de document</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_Toc185425569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26</w:t>
        </w:r>
        <w:r w:rsidRPr="004954AF">
          <w:rPr>
            <w:rFonts w:ascii="Garamond" w:hAnsi="Garamond"/>
            <w:b w:val="0"/>
            <w:noProof/>
            <w:webHidden/>
          </w:rPr>
          <w:fldChar w:fldCharType="end"/>
        </w:r>
      </w:hyperlink>
    </w:p>
    <w:p w14:paraId="7362204D" w14:textId="77777777" w:rsidR="004954AF" w:rsidRPr="004954AF" w:rsidRDefault="004954AF" w:rsidP="004954AF">
      <w:pPr>
        <w:pStyle w:val="TM1"/>
        <w:rPr>
          <w:rFonts w:ascii="Garamond" w:eastAsiaTheme="minorEastAsia" w:hAnsi="Garamond" w:cstheme="minorBidi"/>
          <w:b w:val="0"/>
          <w:noProof/>
          <w:lang w:eastAsia="fr-FR"/>
        </w:rPr>
      </w:pPr>
      <w:hyperlink w:anchor="_Toc185425570" w:history="1">
        <w:r w:rsidRPr="004954AF">
          <w:rPr>
            <w:rStyle w:val="Lienhypertexte"/>
            <w:rFonts w:ascii="Garamond" w:hAnsi="Garamond"/>
            <w:b w:val="0"/>
            <w:noProof/>
            <w:sz w:val="24"/>
            <w:szCs w:val="24"/>
          </w:rPr>
          <w:t>Séance 7. Dépouiller une source de A à Z</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_Toc185425570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30</w:t>
        </w:r>
        <w:r w:rsidRPr="004954AF">
          <w:rPr>
            <w:rFonts w:ascii="Garamond" w:hAnsi="Garamond"/>
            <w:b w:val="0"/>
            <w:noProof/>
            <w:webHidden/>
          </w:rPr>
          <w:fldChar w:fldCharType="end"/>
        </w:r>
      </w:hyperlink>
    </w:p>
    <w:p w14:paraId="167E11AD" w14:textId="77777777" w:rsidR="004954AF" w:rsidRPr="004954AF" w:rsidRDefault="004954AF" w:rsidP="004954AF">
      <w:pPr>
        <w:pStyle w:val="TM1"/>
        <w:rPr>
          <w:rFonts w:ascii="Garamond" w:eastAsiaTheme="minorEastAsia" w:hAnsi="Garamond" w:cstheme="minorBidi"/>
          <w:b w:val="0"/>
          <w:noProof/>
          <w:lang w:eastAsia="fr-FR"/>
        </w:rPr>
      </w:pPr>
      <w:hyperlink w:anchor="_Toc185425571" w:history="1">
        <w:r w:rsidRPr="004954AF">
          <w:rPr>
            <w:rStyle w:val="Lienhypertexte"/>
            <w:rFonts w:ascii="Garamond" w:hAnsi="Garamond"/>
            <w:b w:val="0"/>
            <w:noProof/>
            <w:sz w:val="24"/>
            <w:szCs w:val="24"/>
          </w:rPr>
          <w:t>Séance 9. Prendre un peu de hauteur : la confrontation des sources</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_Toc185425571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33</w:t>
        </w:r>
        <w:r w:rsidRPr="004954AF">
          <w:rPr>
            <w:rFonts w:ascii="Garamond" w:hAnsi="Garamond"/>
            <w:b w:val="0"/>
            <w:noProof/>
            <w:webHidden/>
          </w:rPr>
          <w:fldChar w:fldCharType="end"/>
        </w:r>
      </w:hyperlink>
    </w:p>
    <w:p w14:paraId="7D78DC4E" w14:textId="77777777" w:rsidR="004954AF" w:rsidRPr="004954AF" w:rsidRDefault="004954AF" w:rsidP="004954AF">
      <w:pPr>
        <w:pStyle w:val="TM1"/>
        <w:rPr>
          <w:rFonts w:ascii="Garamond" w:eastAsiaTheme="minorEastAsia" w:hAnsi="Garamond" w:cstheme="minorBidi"/>
          <w:b w:val="0"/>
          <w:noProof/>
          <w:lang w:eastAsia="fr-FR"/>
        </w:rPr>
      </w:pPr>
      <w:hyperlink w:anchor="_Toc185425572" w:history="1">
        <w:r w:rsidRPr="004954AF">
          <w:rPr>
            <w:rStyle w:val="Lienhypertexte"/>
            <w:rFonts w:ascii="Garamond" w:hAnsi="Garamond"/>
            <w:b w:val="0"/>
            <w:noProof/>
            <w:sz w:val="24"/>
            <w:szCs w:val="24"/>
          </w:rPr>
          <w:t>Séance 11. Expliquer des sources difficiles</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_Toc185425572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35</w:t>
        </w:r>
        <w:r w:rsidRPr="004954AF">
          <w:rPr>
            <w:rFonts w:ascii="Garamond" w:hAnsi="Garamond"/>
            <w:b w:val="0"/>
            <w:noProof/>
            <w:webHidden/>
          </w:rPr>
          <w:fldChar w:fldCharType="end"/>
        </w:r>
      </w:hyperlink>
    </w:p>
    <w:p w14:paraId="20A8A0F6" w14:textId="77777777" w:rsidR="004954AF" w:rsidRPr="004954AF" w:rsidRDefault="004954AF" w:rsidP="004954AF">
      <w:pPr>
        <w:pStyle w:val="TM1"/>
        <w:rPr>
          <w:rFonts w:ascii="Garamond" w:eastAsiaTheme="minorEastAsia" w:hAnsi="Garamond" w:cstheme="minorBidi"/>
          <w:b w:val="0"/>
          <w:noProof/>
          <w:lang w:eastAsia="fr-FR"/>
        </w:rPr>
      </w:pPr>
      <w:hyperlink w:anchor="_Toc185425573" w:history="1">
        <w:r w:rsidRPr="004954AF">
          <w:rPr>
            <w:rStyle w:val="Lienhypertexte"/>
            <w:rFonts w:ascii="Garamond" w:hAnsi="Garamond"/>
            <w:b w:val="0"/>
            <w:noProof/>
            <w:sz w:val="24"/>
            <w:szCs w:val="24"/>
          </w:rPr>
          <w:t>Annexe 1. Comprendre et normer des références bibliographiques</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_Toc185425573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37</w:t>
        </w:r>
        <w:r w:rsidRPr="004954AF">
          <w:rPr>
            <w:rFonts w:ascii="Garamond" w:hAnsi="Garamond"/>
            <w:b w:val="0"/>
            <w:noProof/>
            <w:webHidden/>
          </w:rPr>
          <w:fldChar w:fldCharType="end"/>
        </w:r>
      </w:hyperlink>
    </w:p>
    <w:p w14:paraId="0033C454" w14:textId="77777777" w:rsidR="004954AF" w:rsidRPr="004954AF" w:rsidRDefault="004954AF" w:rsidP="004954AF">
      <w:pPr>
        <w:pStyle w:val="TM1"/>
        <w:rPr>
          <w:rFonts w:ascii="Garamond" w:eastAsiaTheme="minorEastAsia" w:hAnsi="Garamond" w:cstheme="minorBidi"/>
          <w:b w:val="0"/>
          <w:noProof/>
          <w:lang w:eastAsia="fr-FR"/>
        </w:rPr>
      </w:pPr>
      <w:hyperlink w:anchor="_Toc185425574" w:history="1">
        <w:r w:rsidRPr="004954AF">
          <w:rPr>
            <w:rStyle w:val="Lienhypertexte"/>
            <w:rFonts w:ascii="Garamond" w:hAnsi="Garamond"/>
            <w:b w:val="0"/>
            <w:noProof/>
            <w:sz w:val="24"/>
            <w:szCs w:val="24"/>
          </w:rPr>
          <w:t>Annexe 2. L’explication de source (ou commentaire) en histoire</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_Toc185425574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38</w:t>
        </w:r>
        <w:r w:rsidRPr="004954AF">
          <w:rPr>
            <w:rFonts w:ascii="Garamond" w:hAnsi="Garamond"/>
            <w:b w:val="0"/>
            <w:noProof/>
            <w:webHidden/>
          </w:rPr>
          <w:fldChar w:fldCharType="end"/>
        </w:r>
      </w:hyperlink>
    </w:p>
    <w:p w14:paraId="5CFF7E84" w14:textId="77777777" w:rsidR="004954AF" w:rsidRPr="004954AF" w:rsidRDefault="004954AF" w:rsidP="004954AF">
      <w:pPr>
        <w:pStyle w:val="TM1"/>
        <w:rPr>
          <w:rFonts w:ascii="Garamond" w:eastAsiaTheme="minorEastAsia" w:hAnsi="Garamond" w:cstheme="minorBidi"/>
          <w:b w:val="0"/>
          <w:noProof/>
          <w:lang w:eastAsia="fr-FR"/>
        </w:rPr>
      </w:pPr>
      <w:hyperlink w:anchor="_Toc185425575" w:history="1">
        <w:r w:rsidRPr="004954AF">
          <w:rPr>
            <w:rStyle w:val="Lienhypertexte"/>
            <w:rFonts w:ascii="Garamond" w:hAnsi="Garamond"/>
            <w:b w:val="0"/>
            <w:noProof/>
            <w:sz w:val="24"/>
            <w:szCs w:val="24"/>
          </w:rPr>
          <w:t>Annexe 3. Rédiger une copie : le « ton » idéal</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_Toc185425575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40</w:t>
        </w:r>
        <w:r w:rsidRPr="004954AF">
          <w:rPr>
            <w:rFonts w:ascii="Garamond" w:hAnsi="Garamond"/>
            <w:b w:val="0"/>
            <w:noProof/>
            <w:webHidden/>
          </w:rPr>
          <w:fldChar w:fldCharType="end"/>
        </w:r>
      </w:hyperlink>
    </w:p>
    <w:p w14:paraId="50A56A0A" w14:textId="77777777" w:rsidR="004954AF" w:rsidRPr="004954AF" w:rsidRDefault="004954AF" w:rsidP="004954AF">
      <w:pPr>
        <w:pStyle w:val="TM1"/>
        <w:rPr>
          <w:rFonts w:ascii="Garamond" w:eastAsiaTheme="minorEastAsia" w:hAnsi="Garamond" w:cstheme="minorBidi"/>
          <w:b w:val="0"/>
          <w:noProof/>
          <w:lang w:eastAsia="fr-FR"/>
        </w:rPr>
      </w:pPr>
      <w:hyperlink w:anchor="_Toc185425576" w:history="1">
        <w:r w:rsidRPr="004954AF">
          <w:rPr>
            <w:rStyle w:val="Lienhypertexte"/>
            <w:rFonts w:ascii="Garamond" w:hAnsi="Garamond"/>
            <w:b w:val="0"/>
            <w:noProof/>
            <w:sz w:val="24"/>
            <w:szCs w:val="24"/>
          </w:rPr>
          <w:t>Annexe 4. Bibliographie générale</w:t>
        </w:r>
        <w:r w:rsidRPr="004954AF">
          <w:rPr>
            <w:rFonts w:ascii="Garamond" w:hAnsi="Garamond"/>
            <w:b w:val="0"/>
            <w:noProof/>
            <w:webHidden/>
          </w:rPr>
          <w:tab/>
        </w:r>
        <w:r w:rsidRPr="004954AF">
          <w:rPr>
            <w:rFonts w:ascii="Garamond" w:hAnsi="Garamond"/>
            <w:b w:val="0"/>
            <w:noProof/>
            <w:webHidden/>
          </w:rPr>
          <w:fldChar w:fldCharType="begin"/>
        </w:r>
        <w:r w:rsidRPr="004954AF">
          <w:rPr>
            <w:rFonts w:ascii="Garamond" w:hAnsi="Garamond"/>
            <w:b w:val="0"/>
            <w:noProof/>
            <w:webHidden/>
          </w:rPr>
          <w:instrText xml:space="preserve"> PAGEREF _Toc185425576 \h </w:instrText>
        </w:r>
        <w:r w:rsidRPr="004954AF">
          <w:rPr>
            <w:rFonts w:ascii="Garamond" w:hAnsi="Garamond"/>
            <w:b w:val="0"/>
            <w:noProof/>
            <w:webHidden/>
          </w:rPr>
        </w:r>
        <w:r w:rsidRPr="004954AF">
          <w:rPr>
            <w:rFonts w:ascii="Garamond" w:hAnsi="Garamond"/>
            <w:b w:val="0"/>
            <w:noProof/>
            <w:webHidden/>
          </w:rPr>
          <w:fldChar w:fldCharType="separate"/>
        </w:r>
        <w:r w:rsidR="00F142CC">
          <w:rPr>
            <w:rFonts w:ascii="Garamond" w:hAnsi="Garamond"/>
            <w:b w:val="0"/>
            <w:noProof/>
            <w:webHidden/>
          </w:rPr>
          <w:t>42</w:t>
        </w:r>
        <w:r w:rsidRPr="004954AF">
          <w:rPr>
            <w:rFonts w:ascii="Garamond" w:hAnsi="Garamond"/>
            <w:b w:val="0"/>
            <w:noProof/>
            <w:webHidden/>
          </w:rPr>
          <w:fldChar w:fldCharType="end"/>
        </w:r>
      </w:hyperlink>
    </w:p>
    <w:p w14:paraId="74E1F2EC" w14:textId="77777777" w:rsidR="004954AF" w:rsidRPr="004954AF" w:rsidRDefault="004954AF" w:rsidP="004954AF">
      <w:pPr>
        <w:pStyle w:val="Sansinterligne"/>
        <w:spacing w:before="120" w:after="120"/>
        <w:ind w:left="142"/>
        <w:rPr>
          <w:sz w:val="24"/>
          <w:szCs w:val="24"/>
        </w:rPr>
      </w:pPr>
      <w:r w:rsidRPr="004954AF">
        <w:rPr>
          <w:sz w:val="24"/>
          <w:szCs w:val="24"/>
        </w:rPr>
        <w:fldChar w:fldCharType="end"/>
      </w:r>
    </w:p>
    <w:p w14:paraId="1B313A27" w14:textId="77777777" w:rsidR="003C37DD" w:rsidRPr="004954AF" w:rsidRDefault="003C37DD" w:rsidP="004954AF">
      <w:pPr>
        <w:pStyle w:val="Sansinterligne"/>
        <w:spacing w:before="120" w:after="120"/>
        <w:ind w:left="142"/>
        <w:rPr>
          <w:sz w:val="24"/>
          <w:szCs w:val="24"/>
        </w:rPr>
      </w:pPr>
      <w:r w:rsidRPr="004954AF">
        <w:rPr>
          <w:sz w:val="24"/>
          <w:szCs w:val="24"/>
        </w:rPr>
        <w:br w:type="page"/>
      </w:r>
    </w:p>
    <w:p w14:paraId="4A90ABBB" w14:textId="77777777" w:rsidR="00A77E43" w:rsidRDefault="00A77E43" w:rsidP="00620E44">
      <w:pPr>
        <w:pStyle w:val="Titre"/>
        <w:rPr>
          <w:b/>
        </w:rPr>
        <w:sectPr w:rsidR="00A77E43" w:rsidSect="00A77E43">
          <w:type w:val="oddPage"/>
          <w:pgSz w:w="11906" w:h="16838"/>
          <w:pgMar w:top="964" w:right="1304" w:bottom="1134" w:left="1304" w:header="709" w:footer="709" w:gutter="0"/>
          <w:cols w:space="708"/>
          <w:docGrid w:linePitch="360"/>
        </w:sectPr>
      </w:pPr>
      <w:bookmarkStart w:id="1" w:name="_Toc185425561"/>
    </w:p>
    <w:p w14:paraId="2B18FC4D" w14:textId="77777777" w:rsidR="008649BD" w:rsidRDefault="008649BD" w:rsidP="00620E44">
      <w:pPr>
        <w:pStyle w:val="Titre"/>
        <w:rPr>
          <w:b/>
        </w:rPr>
      </w:pPr>
      <w:r w:rsidRPr="008649BD">
        <w:rPr>
          <w:b/>
        </w:rPr>
        <w:lastRenderedPageBreak/>
        <w:t>Programme du semestre</w:t>
      </w:r>
      <w:bookmarkEnd w:id="1"/>
    </w:p>
    <w:tbl>
      <w:tblPr>
        <w:tblStyle w:val="Grilledutableau"/>
        <w:tblW w:w="0" w:type="auto"/>
        <w:tblLook w:val="04A0" w:firstRow="1" w:lastRow="0" w:firstColumn="1" w:lastColumn="0" w:noHBand="0" w:noVBand="1"/>
      </w:tblPr>
      <w:tblGrid>
        <w:gridCol w:w="988"/>
        <w:gridCol w:w="8300"/>
      </w:tblGrid>
      <w:tr w:rsidR="008649BD" w14:paraId="4F42352B" w14:textId="77777777" w:rsidTr="00EB619C">
        <w:trPr>
          <w:trHeight w:val="426"/>
        </w:trPr>
        <w:tc>
          <w:tcPr>
            <w:tcW w:w="988" w:type="dxa"/>
          </w:tcPr>
          <w:p w14:paraId="7893E7DE" w14:textId="77777777" w:rsidR="008649BD" w:rsidRPr="00BB07AD" w:rsidRDefault="00BB07AD" w:rsidP="00EB619C">
            <w:pPr>
              <w:pStyle w:val="Biblio"/>
              <w:spacing w:line="276" w:lineRule="auto"/>
              <w:jc w:val="center"/>
              <w:rPr>
                <w:i/>
                <w:smallCaps w:val="0"/>
              </w:rPr>
            </w:pPr>
            <w:r w:rsidRPr="00BB07AD">
              <w:rPr>
                <w:i/>
                <w:smallCaps w:val="0"/>
              </w:rPr>
              <w:t>Sem. 1</w:t>
            </w:r>
          </w:p>
        </w:tc>
        <w:tc>
          <w:tcPr>
            <w:tcW w:w="8300" w:type="dxa"/>
            <w:vAlign w:val="center"/>
          </w:tcPr>
          <w:p w14:paraId="5D331DF1" w14:textId="77777777" w:rsidR="008649BD" w:rsidRDefault="00BB07AD" w:rsidP="002B4906">
            <w:pPr>
              <w:pStyle w:val="Biblio"/>
              <w:spacing w:line="276" w:lineRule="auto"/>
              <w:rPr>
                <w:b/>
                <w:smallCaps w:val="0"/>
              </w:rPr>
            </w:pPr>
            <w:r w:rsidRPr="00BB07AD">
              <w:rPr>
                <w:b/>
                <w:smallCaps w:val="0"/>
              </w:rPr>
              <w:t xml:space="preserve">Séance 1. </w:t>
            </w:r>
            <w:r w:rsidR="004D4C35">
              <w:rPr>
                <w:b/>
                <w:smallCaps w:val="0"/>
              </w:rPr>
              <w:t xml:space="preserve">Identifier un document et comprendre ses usages </w:t>
            </w:r>
          </w:p>
          <w:p w14:paraId="0D108EC8" w14:textId="77777777" w:rsidR="00B80AFA" w:rsidRPr="00BB07AD" w:rsidRDefault="00B80AFA" w:rsidP="00B80AFA">
            <w:pPr>
              <w:pStyle w:val="Biblio"/>
              <w:spacing w:line="276" w:lineRule="auto"/>
              <w:ind w:left="113"/>
              <w:rPr>
                <w:b/>
                <w:smallCaps w:val="0"/>
              </w:rPr>
            </w:pPr>
            <w:r>
              <w:rPr>
                <w:smallCaps w:val="0"/>
              </w:rPr>
              <w:t xml:space="preserve">Source étudiée : </w:t>
            </w:r>
            <w:r w:rsidR="00697BD8">
              <w:rPr>
                <w:smallCaps w:val="0"/>
              </w:rPr>
              <w:t xml:space="preserve">Les courbes de peste </w:t>
            </w:r>
          </w:p>
        </w:tc>
      </w:tr>
      <w:tr w:rsidR="008649BD" w14:paraId="08966FB3" w14:textId="77777777" w:rsidTr="00EB619C">
        <w:trPr>
          <w:trHeight w:val="414"/>
        </w:trPr>
        <w:tc>
          <w:tcPr>
            <w:tcW w:w="988" w:type="dxa"/>
          </w:tcPr>
          <w:p w14:paraId="39FE9A66" w14:textId="77777777" w:rsidR="008649BD" w:rsidRPr="00BB07AD" w:rsidRDefault="00BB07AD" w:rsidP="00EB619C">
            <w:pPr>
              <w:pStyle w:val="Biblio"/>
              <w:spacing w:line="276" w:lineRule="auto"/>
              <w:jc w:val="center"/>
              <w:rPr>
                <w:i/>
                <w:smallCaps w:val="0"/>
              </w:rPr>
            </w:pPr>
            <w:r w:rsidRPr="00BB07AD">
              <w:rPr>
                <w:i/>
                <w:smallCaps w:val="0"/>
              </w:rPr>
              <w:t>Sem. 2</w:t>
            </w:r>
          </w:p>
        </w:tc>
        <w:tc>
          <w:tcPr>
            <w:tcW w:w="8300" w:type="dxa"/>
            <w:vAlign w:val="center"/>
          </w:tcPr>
          <w:p w14:paraId="7776047B" w14:textId="77777777" w:rsidR="008649BD" w:rsidRDefault="00BB07AD" w:rsidP="002B4906">
            <w:pPr>
              <w:pStyle w:val="Biblio"/>
              <w:spacing w:line="276" w:lineRule="auto"/>
              <w:rPr>
                <w:b/>
                <w:smallCaps w:val="0"/>
              </w:rPr>
            </w:pPr>
            <w:r w:rsidRPr="00BB07AD">
              <w:rPr>
                <w:b/>
                <w:smallCaps w:val="0"/>
              </w:rPr>
              <w:t>Séance 2. Dépouiller, présenter une source et la remettre en contexte</w:t>
            </w:r>
          </w:p>
          <w:p w14:paraId="0596E331" w14:textId="77777777" w:rsidR="00B80AFA" w:rsidRPr="00B80AFA" w:rsidRDefault="002B4906" w:rsidP="00B80AFA">
            <w:pPr>
              <w:pStyle w:val="Biblio"/>
              <w:spacing w:line="276" w:lineRule="auto"/>
              <w:ind w:left="113"/>
              <w:rPr>
                <w:smallCaps w:val="0"/>
              </w:rPr>
            </w:pPr>
            <w:r w:rsidRPr="002B4906">
              <w:rPr>
                <w:smallCaps w:val="0"/>
                <w:szCs w:val="22"/>
              </w:rPr>
              <w:t>Source étudiée :</w:t>
            </w:r>
            <w:r w:rsidR="00C24150">
              <w:rPr>
                <w:smallCaps w:val="0"/>
                <w:szCs w:val="22"/>
              </w:rPr>
              <w:t xml:space="preserve"> </w:t>
            </w:r>
            <w:r w:rsidR="00C24150" w:rsidRPr="00C24150">
              <w:rPr>
                <w:smallCaps w:val="0"/>
              </w:rPr>
              <w:t>La seigneurie de Nicolas de Neuvill</w:t>
            </w:r>
            <w:r w:rsidR="00697BD8">
              <w:rPr>
                <w:smallCaps w:val="0"/>
              </w:rPr>
              <w:t xml:space="preserve">e </w:t>
            </w:r>
          </w:p>
        </w:tc>
      </w:tr>
      <w:tr w:rsidR="008649BD" w14:paraId="5A2E9827" w14:textId="77777777" w:rsidTr="00EB619C">
        <w:trPr>
          <w:trHeight w:val="414"/>
        </w:trPr>
        <w:tc>
          <w:tcPr>
            <w:tcW w:w="988" w:type="dxa"/>
          </w:tcPr>
          <w:p w14:paraId="0E47CF8A" w14:textId="77777777" w:rsidR="008649BD" w:rsidRPr="00BB07AD" w:rsidRDefault="00BB07AD" w:rsidP="00EB619C">
            <w:pPr>
              <w:pStyle w:val="Biblio"/>
              <w:spacing w:line="276" w:lineRule="auto"/>
              <w:jc w:val="center"/>
              <w:rPr>
                <w:i/>
                <w:smallCaps w:val="0"/>
              </w:rPr>
            </w:pPr>
            <w:r w:rsidRPr="00BB07AD">
              <w:rPr>
                <w:i/>
                <w:smallCaps w:val="0"/>
              </w:rPr>
              <w:t>Sem. 3</w:t>
            </w:r>
          </w:p>
        </w:tc>
        <w:tc>
          <w:tcPr>
            <w:tcW w:w="8300" w:type="dxa"/>
            <w:vAlign w:val="center"/>
          </w:tcPr>
          <w:p w14:paraId="73F1ACBC" w14:textId="77777777" w:rsidR="008649BD" w:rsidRDefault="00BB07AD" w:rsidP="002B4906">
            <w:pPr>
              <w:pStyle w:val="Biblio"/>
              <w:spacing w:line="276" w:lineRule="auto"/>
              <w:rPr>
                <w:b/>
                <w:smallCaps w:val="0"/>
              </w:rPr>
            </w:pPr>
            <w:r w:rsidRPr="00BB07AD">
              <w:rPr>
                <w:b/>
                <w:smallCaps w:val="0"/>
              </w:rPr>
              <w:t>Séance 3. Écrire une introduction d</w:t>
            </w:r>
            <w:r>
              <w:rPr>
                <w:b/>
                <w:smallCaps w:val="0"/>
              </w:rPr>
              <w:t>’explication de source</w:t>
            </w:r>
          </w:p>
          <w:p w14:paraId="197C8CB4" w14:textId="77777777" w:rsidR="00B80AFA" w:rsidRPr="002B4906" w:rsidRDefault="002B4906" w:rsidP="00B80AFA">
            <w:pPr>
              <w:pStyle w:val="Biblio"/>
              <w:spacing w:line="276" w:lineRule="auto"/>
              <w:ind w:left="113"/>
              <w:rPr>
                <w:smallCaps w:val="0"/>
              </w:rPr>
            </w:pPr>
            <w:r>
              <w:rPr>
                <w:smallCaps w:val="0"/>
                <w:szCs w:val="22"/>
              </w:rPr>
              <w:t>Leçon 1 : « Les femmes et le droit dans l’Ancien régime »</w:t>
            </w:r>
            <w:r>
              <w:rPr>
                <w:smallCaps w:val="0"/>
                <w:szCs w:val="22"/>
              </w:rPr>
              <w:br/>
            </w:r>
            <w:r w:rsidRPr="002B4906">
              <w:rPr>
                <w:smallCaps w:val="0"/>
                <w:szCs w:val="22"/>
              </w:rPr>
              <w:t>Source étudiée</w:t>
            </w:r>
            <w:r>
              <w:rPr>
                <w:smallCaps w:val="0"/>
                <w:szCs w:val="22"/>
              </w:rPr>
              <w:t xml:space="preserve"> 1</w:t>
            </w:r>
            <w:r w:rsidRPr="002B4906">
              <w:rPr>
                <w:smallCaps w:val="0"/>
                <w:szCs w:val="22"/>
              </w:rPr>
              <w:t> :</w:t>
            </w:r>
            <w:r w:rsidR="00C24150">
              <w:rPr>
                <w:smallCaps w:val="0"/>
                <w:szCs w:val="22"/>
              </w:rPr>
              <w:t xml:space="preserve"> </w:t>
            </w:r>
            <w:r w:rsidR="00C24150" w:rsidRPr="00C24150">
              <w:rPr>
                <w:smallCaps w:val="0"/>
              </w:rPr>
              <w:t xml:space="preserve">Séduction et violence : le rapt d’une jeune femme au </w:t>
            </w:r>
            <w:proofErr w:type="spellStart"/>
            <w:r w:rsidR="00C24150" w:rsidRPr="00C24150">
              <w:t>xvii</w:t>
            </w:r>
            <w:r w:rsidR="00C24150" w:rsidRPr="00C24150">
              <w:rPr>
                <w:smallCaps w:val="0"/>
                <w:vertAlign w:val="superscript"/>
              </w:rPr>
              <w:t>e</w:t>
            </w:r>
            <w:proofErr w:type="spellEnd"/>
            <w:r w:rsidR="00C24150" w:rsidRPr="00C24150">
              <w:rPr>
                <w:smallCaps w:val="0"/>
              </w:rPr>
              <w:t xml:space="preserve"> siècle</w:t>
            </w:r>
            <w:r>
              <w:rPr>
                <w:smallCaps w:val="0"/>
                <w:szCs w:val="22"/>
              </w:rPr>
              <w:br/>
            </w:r>
            <w:r>
              <w:rPr>
                <w:smallCaps w:val="0"/>
              </w:rPr>
              <w:t>Leçon 2 : « </w:t>
            </w:r>
            <w:r w:rsidRPr="002B4906">
              <w:rPr>
                <w:smallCaps w:val="0"/>
              </w:rPr>
              <w:t xml:space="preserve">Justice et sorcellerie en Europe aux </w:t>
            </w:r>
            <w:proofErr w:type="spellStart"/>
            <w:r w:rsidRPr="002B4906">
              <w:t>xvi</w:t>
            </w:r>
            <w:r w:rsidRPr="002B4906">
              <w:rPr>
                <w:smallCaps w:val="0"/>
                <w:vertAlign w:val="superscript"/>
              </w:rPr>
              <w:t>e</w:t>
            </w:r>
            <w:proofErr w:type="spellEnd"/>
            <w:r w:rsidRPr="002B4906">
              <w:rPr>
                <w:smallCaps w:val="0"/>
              </w:rPr>
              <w:t xml:space="preserve"> et </w:t>
            </w:r>
            <w:proofErr w:type="spellStart"/>
            <w:r w:rsidRPr="002B4906">
              <w:t>xvii</w:t>
            </w:r>
            <w:r w:rsidRPr="002B4906">
              <w:rPr>
                <w:smallCaps w:val="0"/>
                <w:vertAlign w:val="superscript"/>
              </w:rPr>
              <w:t>e</w:t>
            </w:r>
            <w:proofErr w:type="spellEnd"/>
            <w:r w:rsidRPr="002B4906">
              <w:rPr>
                <w:smallCaps w:val="0"/>
              </w:rPr>
              <w:t xml:space="preserve"> siècles »</w:t>
            </w:r>
            <w:r>
              <w:rPr>
                <w:smallCaps w:val="0"/>
              </w:rPr>
              <w:br/>
              <w:t xml:space="preserve">Source étudiée 2 : </w:t>
            </w:r>
            <w:r w:rsidR="00C24150" w:rsidRPr="00C24150">
              <w:rPr>
                <w:smallCaps w:val="0"/>
              </w:rPr>
              <w:t>Procès d’une femme condamnée à mort en Moselle (1615</w:t>
            </w:r>
            <w:r w:rsidR="00697BD8">
              <w:rPr>
                <w:smallCaps w:val="0"/>
              </w:rPr>
              <w:t xml:space="preserve">) </w:t>
            </w:r>
          </w:p>
        </w:tc>
      </w:tr>
      <w:tr w:rsidR="008649BD" w14:paraId="1C4EFD38" w14:textId="77777777" w:rsidTr="00EB619C">
        <w:trPr>
          <w:trHeight w:val="414"/>
        </w:trPr>
        <w:tc>
          <w:tcPr>
            <w:tcW w:w="988" w:type="dxa"/>
          </w:tcPr>
          <w:p w14:paraId="488FE3F0" w14:textId="77777777" w:rsidR="008649BD" w:rsidRPr="00BB07AD" w:rsidRDefault="00BB07AD" w:rsidP="00EB619C">
            <w:pPr>
              <w:pStyle w:val="Biblio"/>
              <w:spacing w:line="276" w:lineRule="auto"/>
              <w:jc w:val="center"/>
              <w:rPr>
                <w:i/>
                <w:smallCaps w:val="0"/>
              </w:rPr>
            </w:pPr>
            <w:r w:rsidRPr="00BB07AD">
              <w:rPr>
                <w:i/>
                <w:smallCaps w:val="0"/>
              </w:rPr>
              <w:t>Sem. 4</w:t>
            </w:r>
          </w:p>
        </w:tc>
        <w:tc>
          <w:tcPr>
            <w:tcW w:w="8300" w:type="dxa"/>
            <w:vAlign w:val="center"/>
          </w:tcPr>
          <w:p w14:paraId="53284ADF" w14:textId="77777777" w:rsidR="008649BD" w:rsidRDefault="00BB07AD" w:rsidP="002B4906">
            <w:pPr>
              <w:pStyle w:val="Biblio"/>
              <w:spacing w:line="276" w:lineRule="auto"/>
              <w:rPr>
                <w:b/>
                <w:smallCaps w:val="0"/>
              </w:rPr>
            </w:pPr>
            <w:r w:rsidRPr="00BB07AD">
              <w:rPr>
                <w:b/>
                <w:smallCaps w:val="0"/>
              </w:rPr>
              <w:t xml:space="preserve">Séance 4. Apporter des connaissances externes à une source </w:t>
            </w:r>
          </w:p>
          <w:p w14:paraId="4BCD414D" w14:textId="77777777" w:rsidR="002B4906" w:rsidRPr="00BB07AD" w:rsidRDefault="002B4906" w:rsidP="002B4906">
            <w:pPr>
              <w:pStyle w:val="Biblio"/>
              <w:spacing w:line="276" w:lineRule="auto"/>
              <w:ind w:left="113"/>
              <w:rPr>
                <w:b/>
                <w:smallCaps w:val="0"/>
              </w:rPr>
            </w:pPr>
            <w:r w:rsidRPr="002B4906">
              <w:rPr>
                <w:smallCaps w:val="0"/>
                <w:szCs w:val="22"/>
              </w:rPr>
              <w:t>Source étudiée :</w:t>
            </w:r>
            <w:r>
              <w:rPr>
                <w:smallCaps w:val="0"/>
                <w:szCs w:val="22"/>
              </w:rPr>
              <w:t xml:space="preserve"> </w:t>
            </w:r>
            <w:r w:rsidR="009F0287">
              <w:rPr>
                <w:smallCaps w:val="0"/>
                <w:szCs w:val="22"/>
              </w:rPr>
              <w:t>Catherine de Médicis et le fonctionnement idéal de la cour (1576)</w:t>
            </w:r>
          </w:p>
        </w:tc>
      </w:tr>
      <w:tr w:rsidR="008649BD" w14:paraId="49FF46CC" w14:textId="77777777" w:rsidTr="00EB619C">
        <w:trPr>
          <w:trHeight w:val="414"/>
        </w:trPr>
        <w:tc>
          <w:tcPr>
            <w:tcW w:w="988" w:type="dxa"/>
          </w:tcPr>
          <w:p w14:paraId="1D550372" w14:textId="77777777" w:rsidR="008649BD" w:rsidRPr="00BB07AD" w:rsidRDefault="00BB07AD" w:rsidP="00EB619C">
            <w:pPr>
              <w:pStyle w:val="Biblio"/>
              <w:spacing w:line="276" w:lineRule="auto"/>
              <w:jc w:val="center"/>
              <w:rPr>
                <w:i/>
                <w:smallCaps w:val="0"/>
              </w:rPr>
            </w:pPr>
            <w:r w:rsidRPr="00BB07AD">
              <w:rPr>
                <w:i/>
                <w:smallCaps w:val="0"/>
              </w:rPr>
              <w:t>Sem. 5</w:t>
            </w:r>
          </w:p>
        </w:tc>
        <w:tc>
          <w:tcPr>
            <w:tcW w:w="8300" w:type="dxa"/>
            <w:vAlign w:val="center"/>
          </w:tcPr>
          <w:p w14:paraId="6171E56F" w14:textId="77777777" w:rsidR="008649BD" w:rsidRDefault="00BB07AD" w:rsidP="002B4906">
            <w:pPr>
              <w:pStyle w:val="Biblio"/>
              <w:spacing w:line="276" w:lineRule="auto"/>
              <w:rPr>
                <w:b/>
                <w:smallCaps w:val="0"/>
              </w:rPr>
            </w:pPr>
            <w:r w:rsidRPr="00BB07AD">
              <w:rPr>
                <w:b/>
                <w:smallCaps w:val="0"/>
              </w:rPr>
              <w:t>Séance 5. Structurer une explication de source</w:t>
            </w:r>
            <w:r w:rsidR="002B4906">
              <w:rPr>
                <w:b/>
                <w:smallCaps w:val="0"/>
              </w:rPr>
              <w:t xml:space="preserve"> </w:t>
            </w:r>
          </w:p>
          <w:p w14:paraId="697BB5ED" w14:textId="77777777" w:rsidR="002B4906" w:rsidRPr="00BB07AD" w:rsidRDefault="002B4906" w:rsidP="002B4906">
            <w:pPr>
              <w:pStyle w:val="Biblio"/>
              <w:spacing w:line="276" w:lineRule="auto"/>
              <w:ind w:left="113"/>
              <w:rPr>
                <w:b/>
                <w:smallCaps w:val="0"/>
              </w:rPr>
            </w:pPr>
            <w:r>
              <w:rPr>
                <w:smallCaps w:val="0"/>
                <w:szCs w:val="22"/>
              </w:rPr>
              <w:t>Leçon : « Les guerres de Religion »</w:t>
            </w:r>
            <w:r>
              <w:rPr>
                <w:smallCaps w:val="0"/>
                <w:szCs w:val="22"/>
              </w:rPr>
              <w:br/>
            </w:r>
            <w:r w:rsidRPr="002B4906">
              <w:rPr>
                <w:smallCaps w:val="0"/>
                <w:szCs w:val="22"/>
              </w:rPr>
              <w:t>Source étudiée</w:t>
            </w:r>
            <w:r w:rsidR="00EB619C">
              <w:rPr>
                <w:smallCaps w:val="0"/>
                <w:szCs w:val="22"/>
              </w:rPr>
              <w:t xml:space="preserve"> 1</w:t>
            </w:r>
            <w:r w:rsidRPr="002B4906">
              <w:rPr>
                <w:smallCaps w:val="0"/>
                <w:szCs w:val="22"/>
              </w:rPr>
              <w:t> :</w:t>
            </w:r>
            <w:r>
              <w:rPr>
                <w:smallCaps w:val="0"/>
                <w:szCs w:val="22"/>
              </w:rPr>
              <w:t xml:space="preserve"> </w:t>
            </w:r>
            <w:r w:rsidR="00EB619C">
              <w:rPr>
                <w:smallCaps w:val="0"/>
                <w:szCs w:val="22"/>
              </w:rPr>
              <w:t xml:space="preserve">Le massacre de Sens par </w:t>
            </w:r>
            <w:proofErr w:type="spellStart"/>
            <w:r w:rsidR="00EB619C">
              <w:rPr>
                <w:smallCaps w:val="0"/>
                <w:szCs w:val="22"/>
              </w:rPr>
              <w:t>Tortorel</w:t>
            </w:r>
            <w:proofErr w:type="spellEnd"/>
            <w:r w:rsidR="00EB619C">
              <w:rPr>
                <w:smallCaps w:val="0"/>
                <w:szCs w:val="22"/>
              </w:rPr>
              <w:t xml:space="preserve"> et Perrissin</w:t>
            </w:r>
            <w:r w:rsidR="00EB619C">
              <w:rPr>
                <w:smallCaps w:val="0"/>
                <w:szCs w:val="22"/>
              </w:rPr>
              <w:br/>
              <w:t>Source étudiée 2 : Le massacre de la Saint-Barthélemy d’après François Dubois</w:t>
            </w:r>
            <w:r w:rsidR="00697BD8">
              <w:rPr>
                <w:smallCaps w:val="0"/>
                <w:szCs w:val="22"/>
              </w:rPr>
              <w:t xml:space="preserve"> </w:t>
            </w:r>
          </w:p>
        </w:tc>
      </w:tr>
      <w:tr w:rsidR="00BB07AD" w14:paraId="385F1525" w14:textId="77777777" w:rsidTr="004D4C35">
        <w:trPr>
          <w:trHeight w:val="414"/>
        </w:trPr>
        <w:tc>
          <w:tcPr>
            <w:tcW w:w="9288" w:type="dxa"/>
            <w:gridSpan w:val="2"/>
            <w:shd w:val="clear" w:color="auto" w:fill="E7E6E6" w:themeFill="background2"/>
            <w:vAlign w:val="center"/>
          </w:tcPr>
          <w:p w14:paraId="614BEA0E" w14:textId="77777777" w:rsidR="00BB07AD" w:rsidRPr="00BB07AD" w:rsidRDefault="00BB07AD" w:rsidP="002B4906">
            <w:pPr>
              <w:pStyle w:val="Biblio"/>
              <w:spacing w:line="276" w:lineRule="auto"/>
              <w:jc w:val="center"/>
              <w:rPr>
                <w:i/>
                <w:smallCaps w:val="0"/>
              </w:rPr>
            </w:pPr>
            <w:r w:rsidRPr="00BB07AD">
              <w:rPr>
                <w:i/>
                <w:smallCaps w:val="0"/>
              </w:rPr>
              <w:t xml:space="preserve">Vacances universitaires (du 16 au 23 février 2025) </w:t>
            </w:r>
          </w:p>
        </w:tc>
      </w:tr>
      <w:tr w:rsidR="008649BD" w14:paraId="48AF5FDB" w14:textId="77777777" w:rsidTr="00EB619C">
        <w:trPr>
          <w:trHeight w:val="414"/>
        </w:trPr>
        <w:tc>
          <w:tcPr>
            <w:tcW w:w="988" w:type="dxa"/>
          </w:tcPr>
          <w:p w14:paraId="32BB0229" w14:textId="77777777" w:rsidR="00BB07AD" w:rsidRPr="00BB07AD" w:rsidRDefault="00BB07AD" w:rsidP="00EB619C">
            <w:pPr>
              <w:pStyle w:val="Biblio"/>
              <w:spacing w:line="276" w:lineRule="auto"/>
              <w:jc w:val="center"/>
              <w:rPr>
                <w:i/>
                <w:smallCaps w:val="0"/>
              </w:rPr>
            </w:pPr>
            <w:r w:rsidRPr="00BB07AD">
              <w:rPr>
                <w:i/>
                <w:smallCaps w:val="0"/>
              </w:rPr>
              <w:t>Sem. 6</w:t>
            </w:r>
          </w:p>
        </w:tc>
        <w:tc>
          <w:tcPr>
            <w:tcW w:w="8300" w:type="dxa"/>
            <w:vAlign w:val="center"/>
          </w:tcPr>
          <w:p w14:paraId="4B4EB0F1" w14:textId="77777777" w:rsidR="008649BD" w:rsidRDefault="00BB07AD" w:rsidP="002B4906">
            <w:pPr>
              <w:pStyle w:val="Biblio"/>
              <w:spacing w:line="276" w:lineRule="auto"/>
              <w:rPr>
                <w:b/>
                <w:smallCaps w:val="0"/>
              </w:rPr>
            </w:pPr>
            <w:r w:rsidRPr="00BB07AD">
              <w:rPr>
                <w:b/>
                <w:smallCaps w:val="0"/>
              </w:rPr>
              <w:t xml:space="preserve">Séance 6. Remobiliser ses connaissances à des fins argumentatives </w:t>
            </w:r>
          </w:p>
          <w:p w14:paraId="24E6E36C" w14:textId="77777777" w:rsidR="00B80AFA" w:rsidRPr="00BB07AD" w:rsidRDefault="00B80AFA" w:rsidP="00B80AFA">
            <w:pPr>
              <w:pStyle w:val="Biblio"/>
              <w:spacing w:line="276" w:lineRule="auto"/>
              <w:ind w:left="113"/>
              <w:rPr>
                <w:b/>
                <w:smallCaps w:val="0"/>
              </w:rPr>
            </w:pPr>
            <w:r>
              <w:rPr>
                <w:smallCaps w:val="0"/>
              </w:rPr>
              <w:t>Méthodologie de la dissertation (1/2)</w:t>
            </w:r>
          </w:p>
        </w:tc>
      </w:tr>
      <w:tr w:rsidR="008649BD" w14:paraId="45D9C28B" w14:textId="77777777" w:rsidTr="00EB619C">
        <w:trPr>
          <w:trHeight w:val="414"/>
        </w:trPr>
        <w:tc>
          <w:tcPr>
            <w:tcW w:w="988" w:type="dxa"/>
          </w:tcPr>
          <w:p w14:paraId="0AFD2230" w14:textId="77777777" w:rsidR="008649BD" w:rsidRPr="00BB07AD" w:rsidRDefault="00BB07AD" w:rsidP="00EB619C">
            <w:pPr>
              <w:pStyle w:val="Biblio"/>
              <w:spacing w:line="276" w:lineRule="auto"/>
              <w:jc w:val="center"/>
              <w:rPr>
                <w:i/>
                <w:smallCaps w:val="0"/>
              </w:rPr>
            </w:pPr>
            <w:r w:rsidRPr="00BB07AD">
              <w:rPr>
                <w:i/>
                <w:smallCaps w:val="0"/>
              </w:rPr>
              <w:t>Sem. 7</w:t>
            </w:r>
          </w:p>
        </w:tc>
        <w:tc>
          <w:tcPr>
            <w:tcW w:w="8300" w:type="dxa"/>
            <w:vAlign w:val="center"/>
          </w:tcPr>
          <w:p w14:paraId="2C1545CF" w14:textId="77777777" w:rsidR="008649BD" w:rsidRDefault="00BB07AD" w:rsidP="002B4906">
            <w:pPr>
              <w:pStyle w:val="Biblio"/>
              <w:spacing w:line="276" w:lineRule="auto"/>
              <w:rPr>
                <w:b/>
                <w:smallCaps w:val="0"/>
              </w:rPr>
            </w:pPr>
            <w:r w:rsidRPr="00BB07AD">
              <w:rPr>
                <w:b/>
                <w:smallCaps w:val="0"/>
              </w:rPr>
              <w:t xml:space="preserve">Séance 7. </w:t>
            </w:r>
            <w:r>
              <w:rPr>
                <w:b/>
                <w:smallCaps w:val="0"/>
              </w:rPr>
              <w:t>Dépouiller une source de A à Z</w:t>
            </w:r>
          </w:p>
          <w:p w14:paraId="4723DCC8" w14:textId="77777777" w:rsidR="002B4906" w:rsidRPr="002B4906" w:rsidRDefault="002B4906" w:rsidP="002B4906">
            <w:pPr>
              <w:pStyle w:val="Biblio"/>
              <w:spacing w:line="276" w:lineRule="auto"/>
              <w:ind w:left="113"/>
              <w:rPr>
                <w:b/>
                <w:smallCaps w:val="0"/>
              </w:rPr>
            </w:pPr>
            <w:r>
              <w:rPr>
                <w:smallCaps w:val="0"/>
                <w:szCs w:val="22"/>
              </w:rPr>
              <w:t>Leçon : « </w:t>
            </w:r>
            <w:r w:rsidRPr="002B4906">
              <w:rPr>
                <w:smallCaps w:val="0"/>
              </w:rPr>
              <w:t>Le royaume de François I</w:t>
            </w:r>
            <w:r w:rsidRPr="002B4906">
              <w:rPr>
                <w:smallCaps w:val="0"/>
                <w:vertAlign w:val="superscript"/>
              </w:rPr>
              <w:t>er</w:t>
            </w:r>
            <w:r w:rsidRPr="002B4906">
              <w:rPr>
                <w:smallCaps w:val="0"/>
              </w:rPr>
              <w:t> : politique et géopolitique royales »</w:t>
            </w:r>
            <w:r>
              <w:rPr>
                <w:smallCaps w:val="0"/>
                <w:szCs w:val="22"/>
              </w:rPr>
              <w:br/>
            </w:r>
            <w:r w:rsidRPr="002B4906">
              <w:rPr>
                <w:smallCaps w:val="0"/>
                <w:szCs w:val="22"/>
              </w:rPr>
              <w:t xml:space="preserve">Source étudiée : </w:t>
            </w:r>
            <w:r w:rsidRPr="002B4906">
              <w:rPr>
                <w:smallCaps w:val="0"/>
              </w:rPr>
              <w:t>Le royaume de François I</w:t>
            </w:r>
            <w:r w:rsidRPr="002B4906">
              <w:rPr>
                <w:smallCaps w:val="0"/>
                <w:vertAlign w:val="superscript"/>
              </w:rPr>
              <w:t>er</w:t>
            </w:r>
            <w:r w:rsidRPr="002B4906">
              <w:rPr>
                <w:smallCaps w:val="0"/>
              </w:rPr>
              <w:t xml:space="preserve"> d’après Marino Cavalli</w:t>
            </w:r>
          </w:p>
        </w:tc>
      </w:tr>
      <w:tr w:rsidR="008649BD" w14:paraId="200B5B4F" w14:textId="77777777" w:rsidTr="00EB619C">
        <w:trPr>
          <w:trHeight w:val="414"/>
        </w:trPr>
        <w:tc>
          <w:tcPr>
            <w:tcW w:w="988" w:type="dxa"/>
          </w:tcPr>
          <w:p w14:paraId="4E0918D3" w14:textId="77777777" w:rsidR="008649BD" w:rsidRPr="00BB07AD" w:rsidRDefault="00BB07AD" w:rsidP="00EB619C">
            <w:pPr>
              <w:pStyle w:val="Biblio"/>
              <w:spacing w:line="276" w:lineRule="auto"/>
              <w:jc w:val="center"/>
              <w:rPr>
                <w:i/>
                <w:smallCaps w:val="0"/>
              </w:rPr>
            </w:pPr>
            <w:r w:rsidRPr="00BB07AD">
              <w:rPr>
                <w:i/>
                <w:smallCaps w:val="0"/>
              </w:rPr>
              <w:t>Sem. 8</w:t>
            </w:r>
          </w:p>
        </w:tc>
        <w:tc>
          <w:tcPr>
            <w:tcW w:w="8300" w:type="dxa"/>
            <w:vAlign w:val="center"/>
          </w:tcPr>
          <w:p w14:paraId="4E0A37AF" w14:textId="77777777" w:rsidR="002B4906" w:rsidRDefault="00BB07AD" w:rsidP="002B4906">
            <w:pPr>
              <w:pStyle w:val="Biblio"/>
              <w:spacing w:after="40" w:line="276" w:lineRule="auto"/>
              <w:ind w:left="31"/>
              <w:rPr>
                <w:b/>
                <w:smallCaps w:val="0"/>
              </w:rPr>
            </w:pPr>
            <w:r w:rsidRPr="00BB07AD">
              <w:rPr>
                <w:b/>
                <w:smallCaps w:val="0"/>
              </w:rPr>
              <w:t xml:space="preserve">Séance 8. </w:t>
            </w:r>
            <w:r>
              <w:rPr>
                <w:b/>
                <w:smallCaps w:val="0"/>
              </w:rPr>
              <w:t xml:space="preserve">Écrire sa première explication de source </w:t>
            </w:r>
          </w:p>
          <w:p w14:paraId="79071707" w14:textId="77777777" w:rsidR="008649BD" w:rsidRPr="002B4906" w:rsidRDefault="00331010" w:rsidP="002B4906">
            <w:pPr>
              <w:pStyle w:val="Sansinterligne"/>
              <w:spacing w:after="60" w:line="276" w:lineRule="auto"/>
              <w:ind w:left="113"/>
              <w:rPr>
                <w:sz w:val="22"/>
              </w:rPr>
            </w:pPr>
            <w:r w:rsidRPr="002B4906">
              <w:rPr>
                <w:sz w:val="22"/>
                <w:u w:val="single"/>
              </w:rPr>
              <w:t>Devoir sur table</w:t>
            </w:r>
            <w:r w:rsidRPr="002B4906">
              <w:rPr>
                <w:sz w:val="22"/>
              </w:rPr>
              <w:t xml:space="preserve"> : commentaire rédigé de la relation de Marino Cavalli sur le royaume </w:t>
            </w:r>
            <w:r w:rsidR="002B4906">
              <w:rPr>
                <w:sz w:val="22"/>
              </w:rPr>
              <w:br/>
            </w:r>
            <w:r w:rsidRPr="002B4906">
              <w:rPr>
                <w:sz w:val="22"/>
              </w:rPr>
              <w:t>de France</w:t>
            </w:r>
            <w:r w:rsidR="002B4906" w:rsidRPr="002B4906">
              <w:rPr>
                <w:sz w:val="22"/>
              </w:rPr>
              <w:t>, dont l’explication fait l’objet de la séance 7</w:t>
            </w:r>
            <w:r w:rsidR="004D344B">
              <w:rPr>
                <w:sz w:val="22"/>
              </w:rPr>
              <w:t xml:space="preserve"> (voir « Modalités d’évaluation ») </w:t>
            </w:r>
          </w:p>
        </w:tc>
      </w:tr>
      <w:tr w:rsidR="008649BD" w14:paraId="56C28394" w14:textId="77777777" w:rsidTr="00EB619C">
        <w:trPr>
          <w:trHeight w:val="414"/>
        </w:trPr>
        <w:tc>
          <w:tcPr>
            <w:tcW w:w="988" w:type="dxa"/>
          </w:tcPr>
          <w:p w14:paraId="6EBAB199" w14:textId="77777777" w:rsidR="008649BD" w:rsidRPr="00BB07AD" w:rsidRDefault="00BB07AD" w:rsidP="00EB619C">
            <w:pPr>
              <w:pStyle w:val="Biblio"/>
              <w:spacing w:line="276" w:lineRule="auto"/>
              <w:jc w:val="center"/>
              <w:rPr>
                <w:i/>
                <w:smallCaps w:val="0"/>
              </w:rPr>
            </w:pPr>
            <w:r w:rsidRPr="00BB07AD">
              <w:rPr>
                <w:i/>
                <w:smallCaps w:val="0"/>
              </w:rPr>
              <w:t>Sem. 9</w:t>
            </w:r>
          </w:p>
        </w:tc>
        <w:tc>
          <w:tcPr>
            <w:tcW w:w="8300" w:type="dxa"/>
            <w:vAlign w:val="center"/>
          </w:tcPr>
          <w:p w14:paraId="0B3C3ADD" w14:textId="77777777" w:rsidR="008649BD" w:rsidRDefault="00BB07AD" w:rsidP="002B4906">
            <w:pPr>
              <w:pStyle w:val="Biblio"/>
              <w:spacing w:line="276" w:lineRule="auto"/>
              <w:rPr>
                <w:b/>
                <w:smallCaps w:val="0"/>
              </w:rPr>
            </w:pPr>
            <w:r w:rsidRPr="00BB07AD">
              <w:rPr>
                <w:b/>
                <w:smallCaps w:val="0"/>
              </w:rPr>
              <w:t xml:space="preserve">Séance 9. </w:t>
            </w:r>
            <w:r w:rsidR="002B4906">
              <w:rPr>
                <w:b/>
                <w:smallCaps w:val="0"/>
              </w:rPr>
              <w:t xml:space="preserve">Prendre un peu de hauteur : la confrontation des sources </w:t>
            </w:r>
          </w:p>
          <w:p w14:paraId="20AAE290" w14:textId="77777777" w:rsidR="002B4906" w:rsidRPr="004A41D2" w:rsidRDefault="002B4906" w:rsidP="002B4906">
            <w:pPr>
              <w:pStyle w:val="Biblio"/>
              <w:spacing w:line="276" w:lineRule="auto"/>
              <w:ind w:left="113"/>
              <w:rPr>
                <w:b/>
                <w:smallCaps w:val="0"/>
              </w:rPr>
            </w:pPr>
            <w:r>
              <w:rPr>
                <w:smallCaps w:val="0"/>
                <w:szCs w:val="22"/>
              </w:rPr>
              <w:t>Leçon : « </w:t>
            </w:r>
            <w:r w:rsidRPr="002B4906">
              <w:rPr>
                <w:smallCaps w:val="0"/>
              </w:rPr>
              <w:t>L’essor de l’humanisme en Europe (</w:t>
            </w:r>
            <w:proofErr w:type="spellStart"/>
            <w:r w:rsidRPr="002B4906">
              <w:t>xv</w:t>
            </w:r>
            <w:r w:rsidRPr="002B4906">
              <w:rPr>
                <w:smallCaps w:val="0"/>
                <w:vertAlign w:val="superscript"/>
              </w:rPr>
              <w:t>e</w:t>
            </w:r>
            <w:proofErr w:type="spellEnd"/>
            <w:r w:rsidRPr="002B4906">
              <w:rPr>
                <w:smallCaps w:val="0"/>
              </w:rPr>
              <w:t xml:space="preserve"> – </w:t>
            </w:r>
            <w:proofErr w:type="spellStart"/>
            <w:r w:rsidRPr="002B4906">
              <w:t>xvi</w:t>
            </w:r>
            <w:r w:rsidRPr="002B4906">
              <w:rPr>
                <w:smallCaps w:val="0"/>
                <w:vertAlign w:val="superscript"/>
              </w:rPr>
              <w:t>e</w:t>
            </w:r>
            <w:proofErr w:type="spellEnd"/>
            <w:r w:rsidRPr="002B4906">
              <w:rPr>
                <w:smallCaps w:val="0"/>
              </w:rPr>
              <w:t xml:space="preserve"> siècles) »</w:t>
            </w:r>
            <w:r>
              <w:rPr>
                <w:smallCaps w:val="0"/>
                <w:szCs w:val="22"/>
              </w:rPr>
              <w:br/>
            </w:r>
            <w:r w:rsidRPr="002B4906">
              <w:rPr>
                <w:smallCaps w:val="0"/>
                <w:szCs w:val="22"/>
              </w:rPr>
              <w:t>Source</w:t>
            </w:r>
            <w:r w:rsidR="00AF52C0">
              <w:rPr>
                <w:smallCaps w:val="0"/>
                <w:szCs w:val="22"/>
              </w:rPr>
              <w:t>s</w:t>
            </w:r>
            <w:r w:rsidRPr="002B4906">
              <w:rPr>
                <w:smallCaps w:val="0"/>
                <w:szCs w:val="22"/>
              </w:rPr>
              <w:t xml:space="preserve"> étudiée</w:t>
            </w:r>
            <w:r w:rsidR="00AF52C0">
              <w:rPr>
                <w:smallCaps w:val="0"/>
                <w:szCs w:val="22"/>
              </w:rPr>
              <w:t>s</w:t>
            </w:r>
            <w:r w:rsidRPr="002B4906">
              <w:rPr>
                <w:smallCaps w:val="0"/>
                <w:szCs w:val="22"/>
              </w:rPr>
              <w:t xml:space="preserve"> : </w:t>
            </w:r>
            <w:r w:rsidR="004A41D2">
              <w:rPr>
                <w:smallCaps w:val="0"/>
                <w:szCs w:val="22"/>
              </w:rPr>
              <w:t xml:space="preserve">Requête des ouvriers-imprimeurs lyonnais au parlement de Paris (1540) ; </w:t>
            </w:r>
            <w:r w:rsidR="004A41D2">
              <w:rPr>
                <w:smallCaps w:val="0"/>
                <w:szCs w:val="22"/>
              </w:rPr>
              <w:br/>
            </w:r>
            <w:r w:rsidR="004A41D2">
              <w:rPr>
                <w:i/>
                <w:smallCaps w:val="0"/>
                <w:szCs w:val="22"/>
              </w:rPr>
              <w:t xml:space="preserve">                             </w:t>
            </w:r>
            <w:proofErr w:type="spellStart"/>
            <w:r w:rsidR="004A41D2" w:rsidRPr="004A41D2">
              <w:rPr>
                <w:i/>
                <w:smallCaps w:val="0"/>
                <w:szCs w:val="22"/>
              </w:rPr>
              <w:t>Impressio</w:t>
            </w:r>
            <w:proofErr w:type="spellEnd"/>
            <w:r w:rsidR="004A41D2" w:rsidRPr="004A41D2">
              <w:rPr>
                <w:i/>
                <w:smallCaps w:val="0"/>
                <w:szCs w:val="22"/>
              </w:rPr>
              <w:t xml:space="preserve"> Librorum</w:t>
            </w:r>
            <w:r w:rsidR="004A41D2">
              <w:rPr>
                <w:smallCaps w:val="0"/>
                <w:szCs w:val="22"/>
              </w:rPr>
              <w:t xml:space="preserve">, gravure représentant un atelier au </w:t>
            </w:r>
            <w:proofErr w:type="spellStart"/>
            <w:r w:rsidR="004A41D2">
              <w:rPr>
                <w:szCs w:val="22"/>
              </w:rPr>
              <w:t>xvi</w:t>
            </w:r>
            <w:r w:rsidR="004A41D2" w:rsidRPr="004A41D2">
              <w:rPr>
                <w:smallCaps w:val="0"/>
                <w:szCs w:val="22"/>
                <w:vertAlign w:val="superscript"/>
              </w:rPr>
              <w:t>e</w:t>
            </w:r>
            <w:proofErr w:type="spellEnd"/>
            <w:r w:rsidR="004A41D2">
              <w:rPr>
                <w:smallCaps w:val="0"/>
                <w:szCs w:val="22"/>
              </w:rPr>
              <w:t xml:space="preserve"> siècle. </w:t>
            </w:r>
          </w:p>
        </w:tc>
      </w:tr>
      <w:tr w:rsidR="008649BD" w14:paraId="65F9D607" w14:textId="77777777" w:rsidTr="00EB619C">
        <w:trPr>
          <w:trHeight w:val="414"/>
        </w:trPr>
        <w:tc>
          <w:tcPr>
            <w:tcW w:w="988" w:type="dxa"/>
          </w:tcPr>
          <w:p w14:paraId="7F3EB9BA" w14:textId="77777777" w:rsidR="008649BD" w:rsidRPr="00BB07AD" w:rsidRDefault="00BB07AD" w:rsidP="00EB619C">
            <w:pPr>
              <w:pStyle w:val="Biblio"/>
              <w:spacing w:line="276" w:lineRule="auto"/>
              <w:jc w:val="center"/>
              <w:rPr>
                <w:i/>
                <w:smallCaps w:val="0"/>
              </w:rPr>
            </w:pPr>
            <w:r w:rsidRPr="00BB07AD">
              <w:rPr>
                <w:i/>
                <w:smallCaps w:val="0"/>
              </w:rPr>
              <w:t>Sem. 10</w:t>
            </w:r>
          </w:p>
        </w:tc>
        <w:tc>
          <w:tcPr>
            <w:tcW w:w="8300" w:type="dxa"/>
            <w:vAlign w:val="center"/>
          </w:tcPr>
          <w:p w14:paraId="2468032B" w14:textId="77777777" w:rsidR="008649BD" w:rsidRDefault="00BB07AD" w:rsidP="002B4906">
            <w:pPr>
              <w:pStyle w:val="Biblio"/>
              <w:spacing w:line="276" w:lineRule="auto"/>
              <w:rPr>
                <w:b/>
                <w:smallCaps w:val="0"/>
              </w:rPr>
            </w:pPr>
            <w:r w:rsidRPr="00BB07AD">
              <w:rPr>
                <w:b/>
                <w:smallCaps w:val="0"/>
              </w:rPr>
              <w:t xml:space="preserve">Séance </w:t>
            </w:r>
            <w:r>
              <w:rPr>
                <w:b/>
                <w:smallCaps w:val="0"/>
              </w:rPr>
              <w:t>10</w:t>
            </w:r>
            <w:r w:rsidRPr="00BB07AD">
              <w:rPr>
                <w:b/>
                <w:smallCaps w:val="0"/>
              </w:rPr>
              <w:t>.</w:t>
            </w:r>
            <w:r w:rsidR="00C151F5">
              <w:rPr>
                <w:b/>
                <w:smallCaps w:val="0"/>
              </w:rPr>
              <w:t xml:space="preserve"> </w:t>
            </w:r>
            <w:r w:rsidR="00CC1BD1">
              <w:rPr>
                <w:b/>
                <w:smallCaps w:val="0"/>
              </w:rPr>
              <w:t xml:space="preserve">Remobiliser ses connaissances à des fins argumentatives </w:t>
            </w:r>
          </w:p>
          <w:p w14:paraId="454E3FFE" w14:textId="77777777" w:rsidR="00B80AFA" w:rsidRDefault="00B80AFA" w:rsidP="00B80AFA">
            <w:pPr>
              <w:pStyle w:val="Biblio"/>
              <w:spacing w:line="276" w:lineRule="auto"/>
              <w:ind w:left="113"/>
            </w:pPr>
            <w:r>
              <w:rPr>
                <w:smallCaps w:val="0"/>
              </w:rPr>
              <w:t>Méthodologie de la dissertation (2/2)</w:t>
            </w:r>
          </w:p>
        </w:tc>
      </w:tr>
      <w:tr w:rsidR="008649BD" w14:paraId="61AF8B48" w14:textId="77777777" w:rsidTr="00EB619C">
        <w:trPr>
          <w:trHeight w:val="414"/>
        </w:trPr>
        <w:tc>
          <w:tcPr>
            <w:tcW w:w="988" w:type="dxa"/>
          </w:tcPr>
          <w:p w14:paraId="3C94B3D1" w14:textId="77777777" w:rsidR="008649BD" w:rsidRPr="00BB07AD" w:rsidRDefault="00BB07AD" w:rsidP="00EB619C">
            <w:pPr>
              <w:pStyle w:val="Biblio"/>
              <w:spacing w:line="276" w:lineRule="auto"/>
              <w:jc w:val="center"/>
              <w:rPr>
                <w:i/>
                <w:smallCaps w:val="0"/>
              </w:rPr>
            </w:pPr>
            <w:r w:rsidRPr="00BB07AD">
              <w:rPr>
                <w:i/>
                <w:smallCaps w:val="0"/>
              </w:rPr>
              <w:t>Sem. 11</w:t>
            </w:r>
          </w:p>
        </w:tc>
        <w:tc>
          <w:tcPr>
            <w:tcW w:w="8300" w:type="dxa"/>
            <w:vAlign w:val="center"/>
          </w:tcPr>
          <w:p w14:paraId="2FC33AA2" w14:textId="77777777" w:rsidR="008649BD" w:rsidRDefault="00BB07AD" w:rsidP="002B4906">
            <w:pPr>
              <w:pStyle w:val="Biblio"/>
              <w:spacing w:line="276" w:lineRule="auto"/>
              <w:rPr>
                <w:b/>
                <w:smallCaps w:val="0"/>
              </w:rPr>
            </w:pPr>
            <w:r w:rsidRPr="00BB07AD">
              <w:rPr>
                <w:b/>
                <w:smallCaps w:val="0"/>
              </w:rPr>
              <w:t xml:space="preserve">Séance </w:t>
            </w:r>
            <w:r>
              <w:rPr>
                <w:b/>
                <w:smallCaps w:val="0"/>
              </w:rPr>
              <w:t>11</w:t>
            </w:r>
            <w:r w:rsidRPr="00BB07AD">
              <w:rPr>
                <w:b/>
                <w:smallCaps w:val="0"/>
              </w:rPr>
              <w:t>.</w:t>
            </w:r>
            <w:r w:rsidR="00C151F5">
              <w:rPr>
                <w:b/>
                <w:smallCaps w:val="0"/>
              </w:rPr>
              <w:t xml:space="preserve"> </w:t>
            </w:r>
            <w:r w:rsidR="005242B7">
              <w:rPr>
                <w:b/>
                <w:smallCaps w:val="0"/>
              </w:rPr>
              <w:t xml:space="preserve">Expliquer des sources difficiles </w:t>
            </w:r>
          </w:p>
          <w:p w14:paraId="6FAD2D4B" w14:textId="77777777" w:rsidR="00B80AFA" w:rsidRDefault="00B80AFA" w:rsidP="00B80AFA">
            <w:pPr>
              <w:pStyle w:val="Biblio"/>
              <w:spacing w:line="276" w:lineRule="auto"/>
              <w:ind w:left="113"/>
            </w:pPr>
            <w:r w:rsidRPr="002B4906">
              <w:rPr>
                <w:smallCaps w:val="0"/>
                <w:szCs w:val="22"/>
              </w:rPr>
              <w:t>Source étudiée :</w:t>
            </w:r>
            <w:r w:rsidR="00697BD8">
              <w:rPr>
                <w:smallCaps w:val="0"/>
                <w:szCs w:val="22"/>
              </w:rPr>
              <w:t xml:space="preserve"> Les 95 thèses de Martin Luther (1517) </w:t>
            </w:r>
          </w:p>
        </w:tc>
      </w:tr>
      <w:tr w:rsidR="00BB07AD" w14:paraId="7A9BB232" w14:textId="77777777" w:rsidTr="004D4C35">
        <w:trPr>
          <w:trHeight w:val="414"/>
        </w:trPr>
        <w:tc>
          <w:tcPr>
            <w:tcW w:w="9288" w:type="dxa"/>
            <w:gridSpan w:val="2"/>
            <w:shd w:val="clear" w:color="auto" w:fill="E7E6E6" w:themeFill="background2"/>
            <w:vAlign w:val="center"/>
          </w:tcPr>
          <w:p w14:paraId="267F3EDF" w14:textId="77777777" w:rsidR="00BB07AD" w:rsidRPr="00BB07AD" w:rsidRDefault="00BB07AD" w:rsidP="002B4906">
            <w:pPr>
              <w:pStyle w:val="Biblio"/>
              <w:spacing w:line="276" w:lineRule="auto"/>
              <w:jc w:val="center"/>
              <w:rPr>
                <w:i/>
                <w:smallCaps w:val="0"/>
              </w:rPr>
            </w:pPr>
            <w:r w:rsidRPr="00BB07AD">
              <w:rPr>
                <w:i/>
                <w:smallCaps w:val="0"/>
              </w:rPr>
              <w:t>Vacances universitaires (du 6 au 21 avril 2025)</w:t>
            </w:r>
          </w:p>
        </w:tc>
      </w:tr>
      <w:tr w:rsidR="008649BD" w14:paraId="1E504F05" w14:textId="77777777" w:rsidTr="008649BD">
        <w:trPr>
          <w:trHeight w:val="414"/>
        </w:trPr>
        <w:tc>
          <w:tcPr>
            <w:tcW w:w="988" w:type="dxa"/>
            <w:vAlign w:val="center"/>
          </w:tcPr>
          <w:p w14:paraId="4210296A" w14:textId="77777777" w:rsidR="008649BD" w:rsidRPr="00BB07AD" w:rsidRDefault="00BB07AD" w:rsidP="002B4906">
            <w:pPr>
              <w:pStyle w:val="Biblio"/>
              <w:spacing w:line="276" w:lineRule="auto"/>
              <w:jc w:val="center"/>
              <w:rPr>
                <w:i/>
                <w:smallCaps w:val="0"/>
              </w:rPr>
            </w:pPr>
            <w:r w:rsidRPr="00BB07AD">
              <w:rPr>
                <w:i/>
                <w:smallCaps w:val="0"/>
              </w:rPr>
              <w:t>Sem. 12</w:t>
            </w:r>
          </w:p>
        </w:tc>
        <w:tc>
          <w:tcPr>
            <w:tcW w:w="8300" w:type="dxa"/>
            <w:vAlign w:val="center"/>
          </w:tcPr>
          <w:p w14:paraId="0111AE17" w14:textId="77777777" w:rsidR="008649BD" w:rsidRDefault="00BB07AD" w:rsidP="002B4906">
            <w:pPr>
              <w:pStyle w:val="Biblio"/>
              <w:spacing w:line="276" w:lineRule="auto"/>
            </w:pPr>
            <w:r w:rsidRPr="00BB07AD">
              <w:rPr>
                <w:b/>
                <w:smallCaps w:val="0"/>
              </w:rPr>
              <w:t xml:space="preserve">Séance </w:t>
            </w:r>
            <w:r>
              <w:rPr>
                <w:b/>
                <w:smallCaps w:val="0"/>
              </w:rPr>
              <w:t xml:space="preserve">12. Préparer l’examen </w:t>
            </w:r>
          </w:p>
        </w:tc>
      </w:tr>
    </w:tbl>
    <w:p w14:paraId="09F4422C" w14:textId="77777777" w:rsidR="008649BD" w:rsidRDefault="008649BD" w:rsidP="008649BD">
      <w:pPr>
        <w:pStyle w:val="Biblio"/>
      </w:pPr>
    </w:p>
    <w:p w14:paraId="7A9B384F" w14:textId="77777777" w:rsidR="008649BD" w:rsidRDefault="008649BD" w:rsidP="008649BD">
      <w:pPr>
        <w:pStyle w:val="Biblio"/>
      </w:pPr>
      <w:r>
        <w:br w:type="page"/>
      </w:r>
    </w:p>
    <w:p w14:paraId="2FCC183D" w14:textId="77777777" w:rsidR="008649BD" w:rsidRDefault="008649BD" w:rsidP="008649BD">
      <w:pPr>
        <w:pStyle w:val="Titre"/>
        <w:rPr>
          <w:b/>
        </w:rPr>
      </w:pPr>
      <w:bookmarkStart w:id="2" w:name="_Toc185425562"/>
      <w:r w:rsidRPr="008649BD">
        <w:rPr>
          <w:b/>
        </w:rPr>
        <w:lastRenderedPageBreak/>
        <w:t>Modalités d’évaluation</w:t>
      </w:r>
      <w:bookmarkEnd w:id="2"/>
    </w:p>
    <w:p w14:paraId="43CA9CD3" w14:textId="77777777" w:rsidR="004C75F4" w:rsidRDefault="004C75F4" w:rsidP="004C75F4">
      <w:pPr>
        <w:pStyle w:val="Titre1"/>
      </w:pPr>
      <w:r>
        <w:t xml:space="preserve">Exercices évalués au cours du semestre </w:t>
      </w:r>
    </w:p>
    <w:p w14:paraId="4EEF1B20" w14:textId="77777777" w:rsidR="008649BD" w:rsidRDefault="00EE589E" w:rsidP="008649BD">
      <w:pPr>
        <w:pStyle w:val="Biblio"/>
        <w:rPr>
          <w:smallCaps w:val="0"/>
        </w:rPr>
      </w:pPr>
      <w:r w:rsidRPr="00EE589E">
        <w:rPr>
          <w:smallCaps w:val="0"/>
        </w:rPr>
        <w:t xml:space="preserve">Vous </w:t>
      </w:r>
      <w:r>
        <w:rPr>
          <w:smallCaps w:val="0"/>
        </w:rPr>
        <w:t>devrez avoir été</w:t>
      </w:r>
      <w:r w:rsidRPr="00EE589E">
        <w:rPr>
          <w:smallCaps w:val="0"/>
        </w:rPr>
        <w:t xml:space="preserve"> </w:t>
      </w:r>
      <w:proofErr w:type="spellStart"/>
      <w:r w:rsidRPr="00EE589E">
        <w:rPr>
          <w:smallCaps w:val="0"/>
        </w:rPr>
        <w:t>évalué-e</w:t>
      </w:r>
      <w:proofErr w:type="spellEnd"/>
      <w:r w:rsidRPr="00EE589E">
        <w:rPr>
          <w:smallCaps w:val="0"/>
        </w:rPr>
        <w:t xml:space="preserve"> à trois reprises durant le semestre</w:t>
      </w:r>
      <w:r>
        <w:rPr>
          <w:smallCaps w:val="0"/>
        </w:rPr>
        <w:t xml:space="preserve"> : </w:t>
      </w:r>
    </w:p>
    <w:p w14:paraId="45F0779C" w14:textId="77777777" w:rsidR="00EE589E" w:rsidRDefault="00EE589E" w:rsidP="00D37EF8">
      <w:pPr>
        <w:pStyle w:val="Biblio"/>
        <w:numPr>
          <w:ilvl w:val="0"/>
          <w:numId w:val="8"/>
        </w:numPr>
        <w:rPr>
          <w:smallCaps w:val="0"/>
        </w:rPr>
      </w:pPr>
      <w:r>
        <w:rPr>
          <w:smallCaps w:val="0"/>
        </w:rPr>
        <w:t xml:space="preserve">Une note </w:t>
      </w:r>
      <w:r w:rsidR="00D37EF8">
        <w:rPr>
          <w:smallCaps w:val="0"/>
        </w:rPr>
        <w:t xml:space="preserve">correspondant à une évaluation de connaissances, sous la forme de brèves interrogations de cours pendant les séances ou sous la forme de questionnaires en ligne, via Moodle. </w:t>
      </w:r>
    </w:p>
    <w:p w14:paraId="35298579" w14:textId="77777777" w:rsidR="00EE589E" w:rsidRDefault="00D37EF8" w:rsidP="00D37EF8">
      <w:pPr>
        <w:pStyle w:val="Biblio"/>
        <w:numPr>
          <w:ilvl w:val="0"/>
          <w:numId w:val="8"/>
        </w:numPr>
        <w:rPr>
          <w:smallCaps w:val="0"/>
        </w:rPr>
      </w:pPr>
      <w:r>
        <w:rPr>
          <w:smallCaps w:val="0"/>
        </w:rPr>
        <w:t xml:space="preserve">Une note correspondant à une introduction de commentaire, rédigée, préparée et rendue en fin de séance 3. </w:t>
      </w:r>
    </w:p>
    <w:p w14:paraId="14F238B8" w14:textId="77777777" w:rsidR="00EE589E" w:rsidRDefault="00D37EF8" w:rsidP="00D37EF8">
      <w:pPr>
        <w:pStyle w:val="Biblio"/>
        <w:numPr>
          <w:ilvl w:val="0"/>
          <w:numId w:val="8"/>
        </w:numPr>
        <w:rPr>
          <w:smallCaps w:val="0"/>
        </w:rPr>
      </w:pPr>
      <w:r>
        <w:rPr>
          <w:smallCaps w:val="0"/>
        </w:rPr>
        <w:t xml:space="preserve">Une note correspondant à un devoir sut table, en séance 8. Ce devoir sur table sera un commentaire entièrement rédigé. Il portera sur le texte dépouillé ensemble, en séance 7. Toutes les ressources pour vous préparer au mieux à cet examen sont disponibles sur Moodle et dans le présent fichier </w:t>
      </w:r>
      <w:r w:rsidR="006A3645">
        <w:rPr>
          <w:smallCaps w:val="0"/>
        </w:rPr>
        <w:br/>
      </w:r>
      <w:r>
        <w:rPr>
          <w:smallCaps w:val="0"/>
        </w:rPr>
        <w:t xml:space="preserve">de TD, dès le début du semestre. </w:t>
      </w:r>
    </w:p>
    <w:p w14:paraId="2B76A271" w14:textId="77777777" w:rsidR="004C75F4" w:rsidRDefault="004C75F4" w:rsidP="004C75F4">
      <w:pPr>
        <w:pStyle w:val="Titre1"/>
      </w:pPr>
      <w:r w:rsidRPr="009A6A18">
        <w:t>Assiduité</w:t>
      </w:r>
      <w:r>
        <w:t xml:space="preserve">, préparation et </w:t>
      </w:r>
      <w:r w:rsidRPr="006041A7">
        <w:t>participation</w:t>
      </w:r>
    </w:p>
    <w:p w14:paraId="01429A5A" w14:textId="77777777" w:rsidR="004C75F4" w:rsidRPr="007D17A2" w:rsidRDefault="004C75F4" w:rsidP="007D17A2">
      <w:r w:rsidRPr="008623FD">
        <w:t>L’</w:t>
      </w:r>
      <w:r w:rsidRPr="008623FD">
        <w:rPr>
          <w:b/>
        </w:rPr>
        <w:t xml:space="preserve">assiduité aux séances </w:t>
      </w:r>
      <w:r w:rsidRPr="008623FD">
        <w:t xml:space="preserve">de travaux dirigés est obligatoire. Les </w:t>
      </w:r>
      <w:proofErr w:type="spellStart"/>
      <w:r w:rsidRPr="008623FD">
        <w:t>étudiant</w:t>
      </w:r>
      <w:r w:rsidR="00617F5B">
        <w:t>-e</w:t>
      </w:r>
      <w:r w:rsidRPr="008623FD">
        <w:t>s</w:t>
      </w:r>
      <w:proofErr w:type="spellEnd"/>
      <w:r w:rsidRPr="008623FD">
        <w:t xml:space="preserve"> ayant des empêchements particuliers (activité professionnelle en parallèle, problèmes de sant</w:t>
      </w:r>
      <w:r w:rsidR="00617F5B">
        <w:t>é</w:t>
      </w:r>
      <w:r w:rsidRPr="008623FD">
        <w:t xml:space="preserve">) sont invités à </w:t>
      </w:r>
      <w:r w:rsidR="00617F5B">
        <w:t>le dire</w:t>
      </w:r>
      <w:r w:rsidRPr="008623FD">
        <w:t xml:space="preserve"> à l’</w:t>
      </w:r>
      <w:proofErr w:type="spellStart"/>
      <w:r w:rsidRPr="008623FD">
        <w:t>enseignant</w:t>
      </w:r>
      <w:r w:rsidR="00617F5B">
        <w:t>-e</w:t>
      </w:r>
      <w:proofErr w:type="spellEnd"/>
      <w:r w:rsidRPr="008623FD">
        <w:t xml:space="preserve"> dès le début du semestre. Toute absence non justifiée lors des séances donnant lieu à évaluation sera sanctionnée par la note de 0/20. </w:t>
      </w:r>
      <w:r w:rsidRPr="008623FD">
        <w:rPr>
          <w:szCs w:val="23"/>
        </w:rPr>
        <w:t xml:space="preserve">La </w:t>
      </w:r>
      <w:r w:rsidRPr="008623FD">
        <w:rPr>
          <w:b/>
          <w:szCs w:val="23"/>
        </w:rPr>
        <w:t>préparation des séances</w:t>
      </w:r>
      <w:r w:rsidRPr="008623FD">
        <w:rPr>
          <w:szCs w:val="23"/>
        </w:rPr>
        <w:t xml:space="preserve"> attendue consiste en une </w:t>
      </w:r>
      <w:r w:rsidRPr="008623FD">
        <w:rPr>
          <w:szCs w:val="23"/>
          <w:u w:val="single"/>
        </w:rPr>
        <w:t>lecture suivie des documents de la séance</w:t>
      </w:r>
      <w:r w:rsidRPr="008623FD">
        <w:rPr>
          <w:szCs w:val="23"/>
        </w:rPr>
        <w:t xml:space="preserve"> (source et annexes), en amont de celle-ci. </w:t>
      </w:r>
      <w:r w:rsidR="007D17A2">
        <w:rPr>
          <w:szCs w:val="23"/>
        </w:rPr>
        <w:t>V</w:t>
      </w:r>
      <w:r>
        <w:rPr>
          <w:szCs w:val="23"/>
        </w:rPr>
        <w:t>otre</w:t>
      </w:r>
      <w:r w:rsidRPr="008623FD">
        <w:rPr>
          <w:szCs w:val="23"/>
        </w:rPr>
        <w:t xml:space="preserve"> lecture donne lieu à un travail visible sur le fichier de TD, accompagné d’une prise de notes rapide sur papier libre. Aucune prise de note numérique ne sera acceptée. </w:t>
      </w:r>
    </w:p>
    <w:p w14:paraId="7328253E" w14:textId="77777777" w:rsidR="007D17A2" w:rsidRPr="007D17A2" w:rsidRDefault="007D17A2" w:rsidP="007D17A2">
      <w:pPr>
        <w:pStyle w:val="Titre1"/>
      </w:pPr>
      <w:r>
        <w:t xml:space="preserve">Points de vigilance dans les copies </w:t>
      </w:r>
    </w:p>
    <w:p w14:paraId="66299E5A" w14:textId="77777777" w:rsidR="007D17A2" w:rsidRPr="008623FD" w:rsidRDefault="007D17A2" w:rsidP="007D17A2">
      <w:pPr>
        <w:pStyle w:val="Sansinterligne"/>
        <w:spacing w:before="240" w:after="80" w:line="276" w:lineRule="auto"/>
        <w:rPr>
          <w:rFonts w:cs="Times New Roman"/>
          <w:sz w:val="22"/>
        </w:rPr>
      </w:pPr>
      <w:r w:rsidRPr="008623FD">
        <w:rPr>
          <w:rFonts w:cs="Times New Roman"/>
          <w:sz w:val="22"/>
        </w:rPr>
        <w:t xml:space="preserve">Concernant l’évaluation des copies, certaines fautes graves, de fond et de forme, sont particulièrement et systématiquement sanctionnées lors de la correction des copies. Il s’agit : </w:t>
      </w:r>
    </w:p>
    <w:p w14:paraId="65ACDE8D" w14:textId="77777777" w:rsidR="007D17A2" w:rsidRPr="008623FD" w:rsidRDefault="007D17A2" w:rsidP="007D17A2">
      <w:pPr>
        <w:pStyle w:val="Sansinterligne"/>
        <w:numPr>
          <w:ilvl w:val="0"/>
          <w:numId w:val="9"/>
        </w:numPr>
        <w:spacing w:after="80" w:line="276" w:lineRule="auto"/>
        <w:jc w:val="both"/>
        <w:rPr>
          <w:rFonts w:cs="Times New Roman"/>
          <w:sz w:val="22"/>
        </w:rPr>
      </w:pPr>
      <w:r w:rsidRPr="008623FD">
        <w:rPr>
          <w:rFonts w:cs="Times New Roman"/>
          <w:sz w:val="22"/>
        </w:rPr>
        <w:t xml:space="preserve">De la </w:t>
      </w:r>
      <w:r w:rsidRPr="008623FD">
        <w:rPr>
          <w:rFonts w:cs="Times New Roman"/>
          <w:b/>
          <w:sz w:val="22"/>
        </w:rPr>
        <w:t>multiplication des fautes d’orthographe</w:t>
      </w:r>
      <w:r w:rsidRPr="008623FD">
        <w:rPr>
          <w:rFonts w:cs="Times New Roman"/>
          <w:sz w:val="22"/>
        </w:rPr>
        <w:t>, de grammaire et de conjugaison. Au-delà des petites fautes d’inattention, sont sanctionnées : les phrases sans verbe ou proposition principale, la répétition de fautes d’accords graves (participes passés, pluriels et conjugaisons aléatoires) ainsi que des erreurs d’orthographe touchant à des mots de vocabulaire essentiels au sujet</w:t>
      </w:r>
      <w:r>
        <w:rPr>
          <w:rFonts w:cs="Times New Roman"/>
          <w:sz w:val="22"/>
        </w:rPr>
        <w:t xml:space="preserve"> ; </w:t>
      </w:r>
    </w:p>
    <w:p w14:paraId="33E2AABA" w14:textId="77777777" w:rsidR="007D17A2" w:rsidRPr="008623FD" w:rsidRDefault="007D17A2" w:rsidP="007D17A2">
      <w:pPr>
        <w:pStyle w:val="Sansinterligne"/>
        <w:numPr>
          <w:ilvl w:val="0"/>
          <w:numId w:val="9"/>
        </w:numPr>
        <w:spacing w:after="80" w:line="276" w:lineRule="auto"/>
        <w:jc w:val="both"/>
        <w:rPr>
          <w:rFonts w:cs="Times New Roman"/>
          <w:sz w:val="22"/>
        </w:rPr>
      </w:pPr>
      <w:r w:rsidRPr="008623FD">
        <w:rPr>
          <w:rFonts w:cs="Times New Roman"/>
          <w:sz w:val="22"/>
        </w:rPr>
        <w:t>De l’</w:t>
      </w:r>
      <w:r w:rsidRPr="008623FD">
        <w:rPr>
          <w:rFonts w:cs="Times New Roman"/>
          <w:b/>
          <w:sz w:val="22"/>
        </w:rPr>
        <w:t xml:space="preserve">usage du futur </w:t>
      </w:r>
      <w:r w:rsidRPr="008623FD">
        <w:rPr>
          <w:rFonts w:cs="Times New Roman"/>
          <w:sz w:val="22"/>
        </w:rPr>
        <w:t xml:space="preserve">et de formes assimilées (notamment aller + indicatif) ; l’usage du futur est prohibé en histoire, qui est une science d’étude du passé ;  </w:t>
      </w:r>
    </w:p>
    <w:p w14:paraId="19BC83CE" w14:textId="77777777" w:rsidR="007D17A2" w:rsidRPr="008623FD" w:rsidRDefault="007D17A2" w:rsidP="007D17A2">
      <w:pPr>
        <w:pStyle w:val="Sansinterligne"/>
        <w:numPr>
          <w:ilvl w:val="0"/>
          <w:numId w:val="9"/>
        </w:numPr>
        <w:spacing w:after="80" w:line="276" w:lineRule="auto"/>
        <w:jc w:val="both"/>
        <w:rPr>
          <w:rFonts w:cs="Times New Roman"/>
          <w:sz w:val="22"/>
        </w:rPr>
      </w:pPr>
      <w:r w:rsidRPr="008623FD">
        <w:rPr>
          <w:rFonts w:cs="Times New Roman"/>
          <w:sz w:val="22"/>
        </w:rPr>
        <w:t xml:space="preserve">Des </w:t>
      </w:r>
      <w:r w:rsidRPr="008623FD">
        <w:rPr>
          <w:rFonts w:cs="Times New Roman"/>
          <w:b/>
          <w:sz w:val="22"/>
        </w:rPr>
        <w:t xml:space="preserve">faux-sens </w:t>
      </w:r>
      <w:r w:rsidRPr="008623FD">
        <w:rPr>
          <w:rFonts w:cs="Times New Roman"/>
          <w:sz w:val="22"/>
        </w:rPr>
        <w:t xml:space="preserve">et des </w:t>
      </w:r>
      <w:r w:rsidRPr="008623FD">
        <w:rPr>
          <w:rFonts w:cs="Times New Roman"/>
          <w:b/>
          <w:sz w:val="22"/>
        </w:rPr>
        <w:t>contre-sens</w:t>
      </w:r>
      <w:r w:rsidRPr="008623FD">
        <w:rPr>
          <w:rFonts w:cs="Times New Roman"/>
          <w:sz w:val="22"/>
        </w:rPr>
        <w:t xml:space="preserve">, c’est-à-dire d’éléments de commentaire faisant dire à la source quelque chose qu’il n’y est pas écrit, voire </w:t>
      </w:r>
      <w:r w:rsidRPr="008623FD">
        <w:rPr>
          <w:rFonts w:cs="Times New Roman"/>
          <w:i/>
          <w:sz w:val="22"/>
        </w:rPr>
        <w:t>l’exacte opposée</w:t>
      </w:r>
      <w:r w:rsidRPr="008623FD">
        <w:rPr>
          <w:rFonts w:cs="Times New Roman"/>
          <w:sz w:val="22"/>
        </w:rPr>
        <w:t xml:space="preserve"> de ce qu’il y est écrit ; </w:t>
      </w:r>
    </w:p>
    <w:p w14:paraId="70192E54" w14:textId="77777777" w:rsidR="007D17A2" w:rsidRPr="008623FD" w:rsidRDefault="007D17A2" w:rsidP="007D17A2">
      <w:pPr>
        <w:pStyle w:val="Sansinterligne"/>
        <w:numPr>
          <w:ilvl w:val="0"/>
          <w:numId w:val="9"/>
        </w:numPr>
        <w:spacing w:after="80" w:line="276" w:lineRule="auto"/>
        <w:jc w:val="both"/>
        <w:rPr>
          <w:rFonts w:cs="Times New Roman"/>
          <w:sz w:val="22"/>
        </w:rPr>
      </w:pPr>
      <w:r w:rsidRPr="008623FD">
        <w:rPr>
          <w:rFonts w:cs="Times New Roman"/>
          <w:sz w:val="22"/>
        </w:rPr>
        <w:t xml:space="preserve">Des formes diverses de </w:t>
      </w:r>
      <w:r w:rsidRPr="008623FD">
        <w:rPr>
          <w:rFonts w:cs="Times New Roman"/>
          <w:b/>
          <w:sz w:val="22"/>
        </w:rPr>
        <w:t>paraphrase</w:t>
      </w:r>
      <w:r w:rsidRPr="008623FD">
        <w:rPr>
          <w:rFonts w:cs="Times New Roman"/>
          <w:sz w:val="22"/>
        </w:rPr>
        <w:t xml:space="preserve">, c’est-à-dire de reformulations sans explication de la source à commenter ; </w:t>
      </w:r>
    </w:p>
    <w:p w14:paraId="11134B13" w14:textId="77777777" w:rsidR="007D17A2" w:rsidRPr="008623FD" w:rsidRDefault="007D17A2" w:rsidP="007D17A2">
      <w:pPr>
        <w:pStyle w:val="Sansinterligne"/>
        <w:numPr>
          <w:ilvl w:val="0"/>
          <w:numId w:val="9"/>
        </w:numPr>
        <w:spacing w:after="80" w:line="276" w:lineRule="auto"/>
        <w:jc w:val="both"/>
        <w:rPr>
          <w:rFonts w:cs="Times New Roman"/>
          <w:sz w:val="22"/>
        </w:rPr>
      </w:pPr>
      <w:r w:rsidRPr="008623FD">
        <w:rPr>
          <w:rFonts w:cs="Times New Roman"/>
          <w:sz w:val="22"/>
        </w:rPr>
        <w:t>Des restitutions de cours sans rapport direct avec le sujet traité (</w:t>
      </w:r>
      <w:r w:rsidRPr="008623FD">
        <w:rPr>
          <w:rFonts w:cs="Times New Roman"/>
          <w:b/>
          <w:sz w:val="22"/>
        </w:rPr>
        <w:t>hors sujet</w:t>
      </w:r>
      <w:r w:rsidRPr="008623FD">
        <w:rPr>
          <w:rFonts w:cs="Times New Roman"/>
          <w:sz w:val="22"/>
        </w:rPr>
        <w:t xml:space="preserve"> et/ou </w:t>
      </w:r>
      <w:r w:rsidRPr="008623FD">
        <w:rPr>
          <w:rFonts w:cs="Times New Roman"/>
          <w:b/>
          <w:sz w:val="22"/>
        </w:rPr>
        <w:t>dissertation à propos</w:t>
      </w:r>
      <w:r w:rsidRPr="008623FD">
        <w:rPr>
          <w:rFonts w:cs="Times New Roman"/>
          <w:sz w:val="22"/>
        </w:rPr>
        <w:t xml:space="preserve">) ; </w:t>
      </w:r>
    </w:p>
    <w:p w14:paraId="2C33C370" w14:textId="77777777" w:rsidR="007D17A2" w:rsidRPr="008623FD" w:rsidRDefault="007D17A2" w:rsidP="007D17A2">
      <w:pPr>
        <w:pStyle w:val="Sansinterligne"/>
        <w:numPr>
          <w:ilvl w:val="0"/>
          <w:numId w:val="9"/>
        </w:numPr>
        <w:spacing w:after="80" w:line="276" w:lineRule="auto"/>
        <w:jc w:val="both"/>
        <w:rPr>
          <w:rFonts w:cs="Times New Roman"/>
          <w:sz w:val="22"/>
        </w:rPr>
      </w:pPr>
      <w:r w:rsidRPr="008623FD">
        <w:rPr>
          <w:rFonts w:cs="Times New Roman"/>
          <w:sz w:val="22"/>
        </w:rPr>
        <w:t xml:space="preserve">De l’écriture sous un </w:t>
      </w:r>
      <w:r w:rsidRPr="008623FD">
        <w:rPr>
          <w:rFonts w:cs="Times New Roman"/>
          <w:b/>
          <w:sz w:val="22"/>
        </w:rPr>
        <w:t>ton emphatique</w:t>
      </w:r>
      <w:r w:rsidRPr="008623FD">
        <w:rPr>
          <w:rFonts w:cs="Times New Roman"/>
          <w:sz w:val="22"/>
        </w:rPr>
        <w:t xml:space="preserve"> </w:t>
      </w:r>
      <w:r w:rsidRPr="008623FD">
        <w:rPr>
          <w:rFonts w:cs="Times New Roman"/>
          <w:b/>
          <w:sz w:val="22"/>
        </w:rPr>
        <w:t>et/ou</w:t>
      </w:r>
      <w:r w:rsidRPr="008623FD">
        <w:rPr>
          <w:rFonts w:cs="Times New Roman"/>
          <w:sz w:val="22"/>
        </w:rPr>
        <w:t xml:space="preserve"> </w:t>
      </w:r>
      <w:r w:rsidRPr="008623FD">
        <w:rPr>
          <w:rFonts w:cs="Times New Roman"/>
          <w:b/>
          <w:sz w:val="22"/>
        </w:rPr>
        <w:t>ampoulé</w:t>
      </w:r>
      <w:r w:rsidRPr="008623FD">
        <w:rPr>
          <w:rFonts w:cs="Times New Roman"/>
          <w:sz w:val="22"/>
        </w:rPr>
        <w:t xml:space="preserve"> (grandiloquence, adjectifs abusifs, jugements de valeur, usages impropres de concepts, vocabulaire trop théorique, etc.) ; </w:t>
      </w:r>
    </w:p>
    <w:p w14:paraId="58DD679E" w14:textId="77777777" w:rsidR="007D17A2" w:rsidRPr="008623FD" w:rsidRDefault="007D17A2" w:rsidP="007D17A2">
      <w:pPr>
        <w:pStyle w:val="Sansinterligne"/>
        <w:numPr>
          <w:ilvl w:val="0"/>
          <w:numId w:val="9"/>
        </w:numPr>
        <w:spacing w:after="80" w:line="276" w:lineRule="auto"/>
        <w:jc w:val="both"/>
        <w:rPr>
          <w:rFonts w:cs="Times New Roman"/>
          <w:sz w:val="22"/>
        </w:rPr>
      </w:pPr>
      <w:r w:rsidRPr="008623FD">
        <w:rPr>
          <w:rFonts w:cs="Times New Roman"/>
          <w:sz w:val="22"/>
        </w:rPr>
        <w:t xml:space="preserve">Des </w:t>
      </w:r>
      <w:r w:rsidRPr="008623FD">
        <w:rPr>
          <w:rFonts w:cs="Times New Roman"/>
          <w:b/>
          <w:sz w:val="22"/>
        </w:rPr>
        <w:t>réflexions téléologiques</w:t>
      </w:r>
      <w:r w:rsidRPr="008623FD">
        <w:rPr>
          <w:rFonts w:cs="Times New Roman"/>
          <w:sz w:val="22"/>
        </w:rPr>
        <w:t xml:space="preserve">, c’est-à-dire de l’explication du passé par son futur, ou encore des jugements de valeurs sur le « sens » de l’histoire ou la « modernité » et le « progrès », </w:t>
      </w:r>
      <w:r>
        <w:rPr>
          <w:rFonts w:cs="Times New Roman"/>
          <w:sz w:val="22"/>
        </w:rPr>
        <w:t>qui</w:t>
      </w:r>
      <w:r w:rsidRPr="008623FD">
        <w:rPr>
          <w:rFonts w:cs="Times New Roman"/>
          <w:sz w:val="22"/>
        </w:rPr>
        <w:t xml:space="preserve"> relèvent du jugement de valeur et/ou de l’anachronisme ; </w:t>
      </w:r>
    </w:p>
    <w:p w14:paraId="40DD00A0" w14:textId="77777777" w:rsidR="008649BD" w:rsidRPr="00CD6BF1" w:rsidRDefault="007D17A2" w:rsidP="00CD6BF1">
      <w:pPr>
        <w:pStyle w:val="Sansinterligne"/>
        <w:spacing w:before="120" w:after="80" w:line="276" w:lineRule="auto"/>
        <w:jc w:val="both"/>
        <w:rPr>
          <w:rFonts w:cs="Times New Roman"/>
          <w:sz w:val="22"/>
        </w:rPr>
      </w:pPr>
      <w:r w:rsidRPr="008623FD">
        <w:rPr>
          <w:rFonts w:cs="Times New Roman"/>
          <w:sz w:val="22"/>
        </w:rPr>
        <w:t xml:space="preserve">Des </w:t>
      </w:r>
      <w:r w:rsidRPr="008623FD">
        <w:rPr>
          <w:rFonts w:cs="Times New Roman"/>
          <w:b/>
          <w:sz w:val="22"/>
        </w:rPr>
        <w:t>grilles détaillées de correction</w:t>
      </w:r>
      <w:r w:rsidRPr="008623FD">
        <w:rPr>
          <w:rFonts w:cs="Times New Roman"/>
          <w:sz w:val="22"/>
        </w:rPr>
        <w:t xml:space="preserve"> sont disponibles au fil de ce fichier de TD. Les étudiants sont invités à en prendre connaissance avant les évaluations : ces outils leur donnent les attendus face à un commentaire ou une dissertation et leur permettent de s’améliorer rapidement. </w:t>
      </w:r>
    </w:p>
    <w:p w14:paraId="796DC700" w14:textId="77777777" w:rsidR="004D4C35" w:rsidRDefault="004D4C35" w:rsidP="004D4C35">
      <w:pPr>
        <w:pStyle w:val="Titre"/>
        <w:rPr>
          <w:b/>
        </w:rPr>
      </w:pPr>
      <w:bookmarkStart w:id="3" w:name="_Toc185425563"/>
      <w:r>
        <w:lastRenderedPageBreak/>
        <w:t>Séance 1</w:t>
      </w:r>
      <w:r>
        <w:br/>
      </w:r>
      <w:r>
        <w:rPr>
          <w:b/>
        </w:rPr>
        <w:t>Identifier un document et comprendre ses usages</w:t>
      </w:r>
      <w:bookmarkEnd w:id="3"/>
    </w:p>
    <w:p w14:paraId="037832C8" w14:textId="77777777" w:rsidR="00043309" w:rsidRPr="00FF3871" w:rsidRDefault="00043309" w:rsidP="00043309">
      <w:pPr>
        <w:pStyle w:val="Titre1"/>
      </w:pPr>
      <w:r w:rsidRPr="00FF3871">
        <w:sym w:font="Wingdings" w:char="F04F"/>
      </w:r>
      <w:r w:rsidRPr="00FF3871">
        <w:t xml:space="preserve"> </w:t>
      </w:r>
      <w:r>
        <w:t xml:space="preserve">Identifier </w:t>
      </w:r>
      <w:r w:rsidR="00335F5E">
        <w:t xml:space="preserve">et présenter </w:t>
      </w:r>
      <w:r>
        <w:t xml:space="preserve">un document : </w:t>
      </w:r>
      <w:r w:rsidR="00335F5E">
        <w:t>schéma synthétique</w:t>
      </w:r>
    </w:p>
    <w:p w14:paraId="3540C5CC" w14:textId="77777777" w:rsidR="00335F5E" w:rsidRPr="00335F5E" w:rsidRDefault="00335F5E" w:rsidP="00335F5E">
      <w:pPr>
        <w:pStyle w:val="Titre1"/>
        <w:spacing w:after="240"/>
      </w:pPr>
      <w:r w:rsidRPr="00335F5E">
        <w:rPr>
          <w:noProof/>
        </w:rPr>
        <w:drawing>
          <wp:inline distT="0" distB="0" distL="0" distR="0" wp14:anchorId="4366D95D" wp14:editId="5BADA897">
            <wp:extent cx="5904230" cy="267906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04230" cy="2679065"/>
                    </a:xfrm>
                    <a:prstGeom prst="rect">
                      <a:avLst/>
                    </a:prstGeom>
                  </pic:spPr>
                </pic:pic>
              </a:graphicData>
            </a:graphic>
          </wp:inline>
        </w:drawing>
      </w:r>
    </w:p>
    <w:p w14:paraId="10F10438" w14:textId="77777777" w:rsidR="00B43334" w:rsidRDefault="00B43334" w:rsidP="00B43334">
      <w:pPr>
        <w:pStyle w:val="Titre1"/>
      </w:pPr>
      <w:r w:rsidRPr="00620E44">
        <w:t xml:space="preserve">Document 1. </w:t>
      </w:r>
      <w:r w:rsidR="00212D9F">
        <w:t>Les conséquences de la peste d’après Ambroise Paré</w:t>
      </w:r>
    </w:p>
    <w:p w14:paraId="093B9B69" w14:textId="77777777" w:rsidR="00DB03A7" w:rsidRPr="00DB03A7" w:rsidRDefault="00DB03A7" w:rsidP="00212D9F">
      <w:r w:rsidRPr="00DB03A7">
        <w:t xml:space="preserve">Dès que la peste est dans une province, tout commerce de marchandise – pour lequel les hommes ont besoin de s’entretenir les uns et les autres réciproquement, vient à être interrompu et délaissé, car personne ne veut prendre le risque d’apporter un bien là où est la peste, de peur de perdre sa vie. De là, la peste est cause d’une grande cherté des vivres, jusqu’à manquer de tout, y compris dans les grandes villes où une multitude de personnes a l’habitude de vivre à la journée, sans faire de provisions, car les marchands allant </w:t>
      </w:r>
      <w:proofErr w:type="spellStart"/>
      <w:r w:rsidRPr="00DB03A7">
        <w:t>ça</w:t>
      </w:r>
      <w:proofErr w:type="spellEnd"/>
      <w:r w:rsidRPr="00DB03A7">
        <w:t xml:space="preserve"> et là ne peuvent non seulement plus entrer dans les villes ni les villages, mais souvent en sont chassés par les armes et à coups d’arquebuses, d’arbalètes et de pierres, afin de ne pas les laisser s’approcher, tant que quelques fois certains sont tués et massacrés inhumainement, plutôt que de leur porter secours comme on devrait le faire. </w:t>
      </w:r>
      <w:r w:rsidRPr="00DB03A7">
        <w:rPr>
          <w:rFonts w:cs="Times New Roman"/>
        </w:rPr>
        <w:t>[</w:t>
      </w:r>
      <w:r w:rsidRPr="00DB03A7">
        <w:t>...</w:t>
      </w:r>
      <w:r w:rsidRPr="00DB03A7">
        <w:rPr>
          <w:rFonts w:cs="Times New Roman"/>
        </w:rPr>
        <w:t>]</w:t>
      </w:r>
      <w:r w:rsidRPr="00DB03A7">
        <w:t xml:space="preserve"> De plus, </w:t>
      </w:r>
      <w:r>
        <w:t xml:space="preserve">les magistrats et autres qui ont quelque autorité au gouvernement de la chose publique, s’absentent ordinairement les premiers et se retirent ailleurs, de sorte que la justice n’est plus administrée, </w:t>
      </w:r>
      <w:r>
        <w:rPr>
          <w:rFonts w:ascii="Times New Roman" w:hAnsi="Times New Roman" w:cs="Times New Roman"/>
        </w:rPr>
        <w:t>[</w:t>
      </w:r>
      <w:r>
        <w:t>...</w:t>
      </w:r>
      <w:r>
        <w:rPr>
          <w:rFonts w:ascii="Times New Roman" w:hAnsi="Times New Roman" w:cs="Times New Roman"/>
        </w:rPr>
        <w:t>]</w:t>
      </w:r>
      <w:r>
        <w:t xml:space="preserve"> et lors tout s’en va à confusion, qui est un mal des plus grands qui sauraient advenir à une république, quand la justice fait défaut. Et ainsi les méchants amènent bien une autre peste, car ils entrent dans les maisons </w:t>
      </w:r>
      <w:r w:rsidR="00112829">
        <w:t xml:space="preserve">et y pillent et dérobent à leur aise, impunément ; ils coupent le plus souvent la gorge des malades, voire des </w:t>
      </w:r>
      <w:r w:rsidR="00374621">
        <w:t xml:space="preserve">personnes saines, afin de ne pouvoir être retrouvés et accusés après. </w:t>
      </w:r>
      <w:r w:rsidR="00374621">
        <w:rPr>
          <w:rFonts w:ascii="Times New Roman" w:hAnsi="Times New Roman" w:cs="Times New Roman"/>
        </w:rPr>
        <w:t>[</w:t>
      </w:r>
      <w:r w:rsidR="00374621">
        <w:t>...</w:t>
      </w:r>
      <w:r w:rsidR="00374621">
        <w:rPr>
          <w:rFonts w:ascii="Times New Roman" w:hAnsi="Times New Roman" w:cs="Times New Roman"/>
        </w:rPr>
        <w:t>]</w:t>
      </w:r>
      <w:r w:rsidR="00374621">
        <w:t xml:space="preserve"> Je n’ai que faire de dé</w:t>
      </w:r>
      <w:r w:rsidR="00335F5E">
        <w:t>montrer</w:t>
      </w:r>
      <w:r w:rsidR="00374621">
        <w:t xml:space="preserve"> ici longuement ce que l’on ne sait que trop, c’est-à-dire que les villes délaissées deviennent champêtres, jusqu’à voir l’herbe pousser dans les rues, les laboureurs délaissant leurs maisons et les fruits sur la terre, laquelle, après, demeure en friche ; les troupeaux sont égarés et perdus dans les champs. Les hommes s’enfuient en arrière dès qu’ils se rencontrent, signe de grande punition de Dieu. Je me contenterai d’ajouter ici que cette maladie rend partout l’homme misérable, tant que dès qu’il est soupçonné, sa maison (qui était pour lui le lieu le plus sûr et le plus libre) lui sert de cruelle prison, car on l’enferme dedans sans qu’il puisse sortir ni que personne n’y soit admis pour le secourir. Et si cependant l’un de ceux-là vient à mourir, il faut que les autres qui sont avec lui voient quelques fois durant longtemps cet horrible spectacle du corps rempli de vermine et de pourriture, avec une grande puanteur qui fait renforcer l’infection et la vénénosité de l’air, qui puis après fait redoubler la peste, et est souvent cause de la mort de tous ceux qui sont en la maison. </w:t>
      </w:r>
      <w:r w:rsidR="00374621">
        <w:rPr>
          <w:rFonts w:ascii="Times New Roman" w:hAnsi="Times New Roman" w:cs="Times New Roman"/>
        </w:rPr>
        <w:t>[</w:t>
      </w:r>
      <w:r w:rsidR="00374621">
        <w:t>...</w:t>
      </w:r>
      <w:r w:rsidR="00374621">
        <w:rPr>
          <w:rFonts w:ascii="Times New Roman" w:hAnsi="Times New Roman" w:cs="Times New Roman"/>
        </w:rPr>
        <w:t>]</w:t>
      </w:r>
      <w:r w:rsidR="00374621">
        <w:t xml:space="preserve"> </w:t>
      </w:r>
    </w:p>
    <w:p w14:paraId="4EC5AE0F" w14:textId="77777777" w:rsidR="005B275B" w:rsidRPr="00335F5E" w:rsidRDefault="00212D9F" w:rsidP="00335F5E">
      <w:pPr>
        <w:pStyle w:val="Citationsources"/>
      </w:pPr>
      <w:r>
        <w:t xml:space="preserve">Ambroise </w:t>
      </w:r>
      <w:r w:rsidRPr="00212D9F">
        <w:rPr>
          <w:smallCaps/>
        </w:rPr>
        <w:t>Paré</w:t>
      </w:r>
      <w:r>
        <w:t xml:space="preserve">, </w:t>
      </w:r>
      <w:proofErr w:type="spellStart"/>
      <w:r w:rsidRPr="00212D9F">
        <w:rPr>
          <w:i/>
        </w:rPr>
        <w:t>Traicté</w:t>
      </w:r>
      <w:proofErr w:type="spellEnd"/>
      <w:r w:rsidRPr="00212D9F">
        <w:rPr>
          <w:i/>
        </w:rPr>
        <w:t xml:space="preserve"> de la Peste</w:t>
      </w:r>
      <w:r w:rsidR="003E4D84">
        <w:rPr>
          <w:i/>
        </w:rPr>
        <w:t xml:space="preserve">, de la Petit Vérole &amp; </w:t>
      </w:r>
      <w:proofErr w:type="spellStart"/>
      <w:r w:rsidR="003E4D84">
        <w:rPr>
          <w:i/>
        </w:rPr>
        <w:t>Rougeolle</w:t>
      </w:r>
      <w:proofErr w:type="spellEnd"/>
      <w:r w:rsidR="003E4D84">
        <w:t xml:space="preserve">, Paris, De l’Imprimerie André </w:t>
      </w:r>
      <w:proofErr w:type="spellStart"/>
      <w:r w:rsidR="003E4D84">
        <w:t>Wechel</w:t>
      </w:r>
      <w:proofErr w:type="spellEnd"/>
      <w:r>
        <w:t>, 1568</w:t>
      </w:r>
      <w:r>
        <w:br/>
      </w:r>
      <w:r w:rsidR="003E4D84">
        <w:t>(</w:t>
      </w:r>
      <w:r>
        <w:t xml:space="preserve">extrait publié dans Joël </w:t>
      </w:r>
      <w:r w:rsidRPr="00212D9F">
        <w:rPr>
          <w:smallCaps/>
        </w:rPr>
        <w:t>Coste</w:t>
      </w:r>
      <w:r>
        <w:t xml:space="preserve">, </w:t>
      </w:r>
      <w:r w:rsidRPr="00212D9F">
        <w:rPr>
          <w:i/>
        </w:rPr>
        <w:t xml:space="preserve">Représentations et comportements en temps d'épidémie </w:t>
      </w:r>
      <w:r>
        <w:rPr>
          <w:i/>
        </w:rPr>
        <w:br/>
      </w:r>
      <w:r w:rsidRPr="00212D9F">
        <w:rPr>
          <w:i/>
        </w:rPr>
        <w:t>dans la littérature imprimée de peste (1490-1725)</w:t>
      </w:r>
      <w:r>
        <w:t>, Paris, Honoré Champion, 2007, p. 770-773</w:t>
      </w:r>
      <w:r w:rsidR="003E4D84">
        <w:t>)</w:t>
      </w:r>
      <w:r w:rsidR="00335F5E">
        <w:t xml:space="preserve"> (modernisé)</w:t>
      </w:r>
      <w:r>
        <w:t>.</w:t>
      </w:r>
    </w:p>
    <w:p w14:paraId="10B36805" w14:textId="77777777" w:rsidR="00B43334" w:rsidRDefault="00B43334" w:rsidP="00B43334">
      <w:pPr>
        <w:pStyle w:val="Titre1"/>
      </w:pPr>
      <w:r w:rsidRPr="00620E44">
        <w:lastRenderedPageBreak/>
        <w:t xml:space="preserve">Document </w:t>
      </w:r>
      <w:r>
        <w:t>2</w:t>
      </w:r>
      <w:r w:rsidRPr="00620E44">
        <w:t xml:space="preserve">. </w:t>
      </w:r>
      <w:r w:rsidR="00212D9F">
        <w:t>La surmortalité épidémique en Bretagne</w:t>
      </w:r>
    </w:p>
    <w:p w14:paraId="4DAA30E0" w14:textId="77777777" w:rsidR="00043309" w:rsidRDefault="00043309" w:rsidP="00043309">
      <w:pPr>
        <w:pStyle w:val="Titre2"/>
        <w:spacing w:before="120" w:after="120"/>
      </w:pPr>
      <w:r w:rsidRPr="00043309">
        <w:t xml:space="preserve">Document 2a. Les registres paroissiaux, une source pour l’histoire démographique et sociale </w:t>
      </w:r>
    </w:p>
    <w:p w14:paraId="1521EFE6" w14:textId="77777777" w:rsidR="00043309" w:rsidRDefault="00043309" w:rsidP="00043309">
      <w:proofErr w:type="gramStart"/>
      <w:r>
        <w:t>“[</w:t>
      </w:r>
      <w:proofErr w:type="gramEnd"/>
      <w:r>
        <w:t xml:space="preserve">…] Du vingt </w:t>
      </w:r>
      <w:proofErr w:type="spellStart"/>
      <w:r>
        <w:t>cinquiesme</w:t>
      </w:r>
      <w:proofErr w:type="spellEnd"/>
      <w:r>
        <w:t xml:space="preserve"> jour de janvier l'an mil cinq </w:t>
      </w:r>
      <w:proofErr w:type="spellStart"/>
      <w:r>
        <w:t>cens</w:t>
      </w:r>
      <w:proofErr w:type="spellEnd"/>
      <w:r>
        <w:t xml:space="preserve"> </w:t>
      </w:r>
      <w:proofErr w:type="spellStart"/>
      <w:r>
        <w:t>soixante dix</w:t>
      </w:r>
      <w:proofErr w:type="spellEnd"/>
      <w:r>
        <w:t xml:space="preserve"> </w:t>
      </w:r>
      <w:proofErr w:type="spellStart"/>
      <w:r>
        <w:t>neuff</w:t>
      </w:r>
      <w:proofErr w:type="spellEnd"/>
      <w:r>
        <w:t xml:space="preserve"> fut </w:t>
      </w:r>
      <w:proofErr w:type="spellStart"/>
      <w:r>
        <w:t>ensepulturé</w:t>
      </w:r>
      <w:proofErr w:type="spellEnd"/>
      <w:r>
        <w:t xml:space="preserve"> ou </w:t>
      </w:r>
      <w:proofErr w:type="spellStart"/>
      <w:r>
        <w:t>semetyere</w:t>
      </w:r>
      <w:proofErr w:type="spellEnd"/>
      <w:r>
        <w:t xml:space="preserve"> et terre </w:t>
      </w:r>
      <w:proofErr w:type="spellStart"/>
      <w:r>
        <w:t>saincte</w:t>
      </w:r>
      <w:proofErr w:type="spellEnd"/>
      <w:r>
        <w:t xml:space="preserve"> de </w:t>
      </w:r>
      <w:proofErr w:type="spellStart"/>
      <w:r>
        <w:t>Marzac</w:t>
      </w:r>
      <w:proofErr w:type="spellEnd"/>
      <w:r>
        <w:t xml:space="preserve"> en la chapelle de saint Louis le corps de </w:t>
      </w:r>
      <w:proofErr w:type="spellStart"/>
      <w:r>
        <w:t>missire</w:t>
      </w:r>
      <w:proofErr w:type="spellEnd"/>
      <w:r>
        <w:t xml:space="preserve"> Jehan Lorens </w:t>
      </w:r>
      <w:proofErr w:type="spellStart"/>
      <w:r>
        <w:t>prebtre</w:t>
      </w:r>
      <w:proofErr w:type="spellEnd"/>
      <w:r>
        <w:t>, [</w:t>
      </w:r>
      <w:proofErr w:type="spellStart"/>
      <w:r>
        <w:t>moy</w:t>
      </w:r>
      <w:proofErr w:type="spellEnd"/>
      <w:r>
        <w:t xml:space="preserve">] </w:t>
      </w:r>
      <w:proofErr w:type="spellStart"/>
      <w:r>
        <w:t>soubz</w:t>
      </w:r>
      <w:proofErr w:type="spellEnd"/>
      <w:r>
        <w:t xml:space="preserve"> signé ay donné la </w:t>
      </w:r>
      <w:proofErr w:type="spellStart"/>
      <w:r>
        <w:t>benediction</w:t>
      </w:r>
      <w:proofErr w:type="spellEnd"/>
      <w:r>
        <w:t xml:space="preserve"> du </w:t>
      </w:r>
      <w:proofErr w:type="spellStart"/>
      <w:r>
        <w:t>sepulcre</w:t>
      </w:r>
      <w:proofErr w:type="spellEnd"/>
      <w:r>
        <w:t>. [</w:t>
      </w:r>
      <w:proofErr w:type="gramStart"/>
      <w:r>
        <w:t>signé</w:t>
      </w:r>
      <w:proofErr w:type="gramEnd"/>
      <w:r>
        <w:t xml:space="preserve">] J. de </w:t>
      </w:r>
      <w:proofErr w:type="spellStart"/>
      <w:r>
        <w:t>Vay</w:t>
      </w:r>
      <w:proofErr w:type="spellEnd"/>
      <w:r w:rsidR="00D17FB4">
        <w:t xml:space="preserve">. </w:t>
      </w:r>
    </w:p>
    <w:p w14:paraId="51FCFAF5" w14:textId="77777777" w:rsidR="00043309" w:rsidRDefault="00043309" w:rsidP="00043309">
      <w:r>
        <w:t xml:space="preserve">Du vingt </w:t>
      </w:r>
      <w:proofErr w:type="spellStart"/>
      <w:r>
        <w:t>septyesme</w:t>
      </w:r>
      <w:proofErr w:type="spellEnd"/>
      <w:r>
        <w:t xml:space="preserve"> jour de janvier l'an mil cinq </w:t>
      </w:r>
      <w:proofErr w:type="spellStart"/>
      <w:r>
        <w:t>cens</w:t>
      </w:r>
      <w:proofErr w:type="spellEnd"/>
      <w:r>
        <w:t xml:space="preserve"> </w:t>
      </w:r>
      <w:proofErr w:type="spellStart"/>
      <w:r>
        <w:t>soixante dix</w:t>
      </w:r>
      <w:proofErr w:type="spellEnd"/>
      <w:r>
        <w:t xml:space="preserve"> </w:t>
      </w:r>
      <w:proofErr w:type="spellStart"/>
      <w:r>
        <w:t>neuff</w:t>
      </w:r>
      <w:proofErr w:type="spellEnd"/>
      <w:r>
        <w:t xml:space="preserve"> fut </w:t>
      </w:r>
      <w:proofErr w:type="spellStart"/>
      <w:r>
        <w:t>ensepulturé</w:t>
      </w:r>
      <w:proofErr w:type="spellEnd"/>
      <w:r>
        <w:t xml:space="preserve"> ou </w:t>
      </w:r>
      <w:proofErr w:type="spellStart"/>
      <w:r>
        <w:t>semetyerre</w:t>
      </w:r>
      <w:proofErr w:type="spellEnd"/>
      <w:r>
        <w:t xml:space="preserve"> et terre </w:t>
      </w:r>
      <w:proofErr w:type="spellStart"/>
      <w:r>
        <w:t>saincte</w:t>
      </w:r>
      <w:proofErr w:type="spellEnd"/>
      <w:r>
        <w:t xml:space="preserve"> de </w:t>
      </w:r>
      <w:proofErr w:type="spellStart"/>
      <w:r>
        <w:t>Marzac</w:t>
      </w:r>
      <w:proofErr w:type="spellEnd"/>
      <w:r>
        <w:t xml:space="preserve"> le corps de Jehanne Robin </w:t>
      </w:r>
      <w:proofErr w:type="spellStart"/>
      <w:r>
        <w:t>feme</w:t>
      </w:r>
      <w:proofErr w:type="spellEnd"/>
      <w:r>
        <w:t xml:space="preserve"> de </w:t>
      </w:r>
      <w:proofErr w:type="spellStart"/>
      <w:r>
        <w:t>Françoys</w:t>
      </w:r>
      <w:proofErr w:type="spellEnd"/>
      <w:r>
        <w:t xml:space="preserve"> </w:t>
      </w:r>
      <w:proofErr w:type="spellStart"/>
      <w:r>
        <w:t>Lehugier</w:t>
      </w:r>
      <w:proofErr w:type="spellEnd"/>
      <w:r>
        <w:t>, [</w:t>
      </w:r>
      <w:proofErr w:type="spellStart"/>
      <w:r>
        <w:t>moy</w:t>
      </w:r>
      <w:proofErr w:type="spellEnd"/>
      <w:r>
        <w:t xml:space="preserve">] </w:t>
      </w:r>
      <w:proofErr w:type="spellStart"/>
      <w:r>
        <w:t>soubz</w:t>
      </w:r>
      <w:proofErr w:type="spellEnd"/>
      <w:r>
        <w:t xml:space="preserve"> signé ay donné la </w:t>
      </w:r>
      <w:proofErr w:type="spellStart"/>
      <w:r>
        <w:t>benediction</w:t>
      </w:r>
      <w:proofErr w:type="spellEnd"/>
      <w:r>
        <w:t xml:space="preserve"> du </w:t>
      </w:r>
      <w:proofErr w:type="spellStart"/>
      <w:r>
        <w:t>sepulcre</w:t>
      </w:r>
      <w:proofErr w:type="spellEnd"/>
      <w:r>
        <w:t>. [</w:t>
      </w:r>
      <w:proofErr w:type="gramStart"/>
      <w:r>
        <w:t>signé</w:t>
      </w:r>
      <w:proofErr w:type="gramEnd"/>
      <w:r>
        <w:t xml:space="preserve">] J. de </w:t>
      </w:r>
      <w:proofErr w:type="spellStart"/>
      <w:r>
        <w:t>Vay</w:t>
      </w:r>
      <w:proofErr w:type="spellEnd"/>
    </w:p>
    <w:p w14:paraId="71346FE1" w14:textId="77777777" w:rsidR="00043309" w:rsidRDefault="005B275B" w:rsidP="00043309">
      <w:r>
        <w:rPr>
          <w:noProof/>
        </w:rPr>
        <w:drawing>
          <wp:anchor distT="0" distB="0" distL="114300" distR="114300" simplePos="0" relativeHeight="251670528" behindDoc="1" locked="0" layoutInCell="1" allowOverlap="1" wp14:anchorId="30298099" wp14:editId="43373BF5">
            <wp:simplePos x="0" y="0"/>
            <wp:positionH relativeFrom="column">
              <wp:posOffset>5280660</wp:posOffset>
            </wp:positionH>
            <wp:positionV relativeFrom="paragraph">
              <wp:posOffset>567055</wp:posOffset>
            </wp:positionV>
            <wp:extent cx="612000" cy="612000"/>
            <wp:effectExtent l="0" t="0" r="0" b="0"/>
            <wp:wrapNone/>
            <wp:docPr id="28" name="Image 2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a:hlinkClick r:id="rId12"/>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00" cy="612000"/>
                    </a:xfrm>
                    <a:prstGeom prst="rect">
                      <a:avLst/>
                    </a:prstGeom>
                  </pic:spPr>
                </pic:pic>
              </a:graphicData>
            </a:graphic>
            <wp14:sizeRelH relativeFrom="page">
              <wp14:pctWidth>0</wp14:pctWidth>
            </wp14:sizeRelH>
            <wp14:sizeRelV relativeFrom="page">
              <wp14:pctHeight>0</wp14:pctHeight>
            </wp14:sizeRelV>
          </wp:anchor>
        </w:drawing>
      </w:r>
      <w:r w:rsidR="00043309">
        <w:t xml:space="preserve">[…] Du dix </w:t>
      </w:r>
      <w:proofErr w:type="spellStart"/>
      <w:r w:rsidR="00043309">
        <w:t>septyesme</w:t>
      </w:r>
      <w:proofErr w:type="spellEnd"/>
      <w:r w:rsidR="00043309">
        <w:t xml:space="preserve"> jour de mars l'an mil cinq </w:t>
      </w:r>
      <w:proofErr w:type="spellStart"/>
      <w:r w:rsidR="00043309">
        <w:t>cens</w:t>
      </w:r>
      <w:proofErr w:type="spellEnd"/>
      <w:r w:rsidR="00043309">
        <w:t xml:space="preserve"> </w:t>
      </w:r>
      <w:proofErr w:type="spellStart"/>
      <w:r w:rsidR="00043309">
        <w:t>soixante dix</w:t>
      </w:r>
      <w:proofErr w:type="spellEnd"/>
      <w:r w:rsidR="00043309">
        <w:t xml:space="preserve"> </w:t>
      </w:r>
      <w:proofErr w:type="spellStart"/>
      <w:r w:rsidR="00043309">
        <w:t>neuff</w:t>
      </w:r>
      <w:proofErr w:type="spellEnd"/>
      <w:r w:rsidR="00043309">
        <w:t xml:space="preserve"> fut </w:t>
      </w:r>
      <w:proofErr w:type="spellStart"/>
      <w:r w:rsidR="00043309">
        <w:t>ensepulturé</w:t>
      </w:r>
      <w:proofErr w:type="spellEnd"/>
      <w:r w:rsidR="00043309">
        <w:t xml:space="preserve"> en l'</w:t>
      </w:r>
      <w:proofErr w:type="spellStart"/>
      <w:r w:rsidR="00043309">
        <w:t>eglise</w:t>
      </w:r>
      <w:proofErr w:type="spellEnd"/>
      <w:r w:rsidR="00043309">
        <w:t xml:space="preserve"> de </w:t>
      </w:r>
      <w:proofErr w:type="spellStart"/>
      <w:r w:rsidR="00043309">
        <w:t>Marzac</w:t>
      </w:r>
      <w:proofErr w:type="spellEnd"/>
      <w:r w:rsidR="00043309">
        <w:t xml:space="preserve"> le corps de </w:t>
      </w:r>
      <w:proofErr w:type="spellStart"/>
      <w:r w:rsidR="00043309">
        <w:t>demoyselle</w:t>
      </w:r>
      <w:proofErr w:type="spellEnd"/>
      <w:r w:rsidR="00043309">
        <w:t xml:space="preserve"> Gillette </w:t>
      </w:r>
      <w:proofErr w:type="spellStart"/>
      <w:r w:rsidR="00043309">
        <w:t>Desovre</w:t>
      </w:r>
      <w:proofErr w:type="spellEnd"/>
      <w:r w:rsidR="00043309">
        <w:t xml:space="preserve"> femme de maitre </w:t>
      </w:r>
      <w:proofErr w:type="spellStart"/>
      <w:r w:rsidR="00043309">
        <w:t>Françoys</w:t>
      </w:r>
      <w:proofErr w:type="spellEnd"/>
      <w:r w:rsidR="00043309">
        <w:t xml:space="preserve"> </w:t>
      </w:r>
      <w:proofErr w:type="spellStart"/>
      <w:r w:rsidR="00043309">
        <w:t>Lefeubvre</w:t>
      </w:r>
      <w:proofErr w:type="spellEnd"/>
      <w:r w:rsidR="00043309">
        <w:t>, [</w:t>
      </w:r>
      <w:proofErr w:type="spellStart"/>
      <w:r w:rsidR="00043309">
        <w:t>moy</w:t>
      </w:r>
      <w:proofErr w:type="spellEnd"/>
      <w:r w:rsidR="00043309">
        <w:t xml:space="preserve">] </w:t>
      </w:r>
      <w:proofErr w:type="spellStart"/>
      <w:r w:rsidR="00043309">
        <w:t>soubz</w:t>
      </w:r>
      <w:proofErr w:type="spellEnd"/>
      <w:r w:rsidR="00043309">
        <w:t xml:space="preserve"> signé ay donné la </w:t>
      </w:r>
      <w:proofErr w:type="spellStart"/>
      <w:r w:rsidR="00043309">
        <w:t>benediction</w:t>
      </w:r>
      <w:proofErr w:type="spellEnd"/>
      <w:r w:rsidR="00043309">
        <w:t xml:space="preserve"> du </w:t>
      </w:r>
      <w:proofErr w:type="spellStart"/>
      <w:r w:rsidR="00043309">
        <w:t>sepulcre</w:t>
      </w:r>
      <w:proofErr w:type="spellEnd"/>
      <w:r w:rsidR="00043309">
        <w:t>. [</w:t>
      </w:r>
      <w:proofErr w:type="gramStart"/>
      <w:r w:rsidR="00043309">
        <w:t>signé</w:t>
      </w:r>
      <w:proofErr w:type="gramEnd"/>
      <w:r w:rsidR="00043309">
        <w:t xml:space="preserve">] J. de </w:t>
      </w:r>
      <w:proofErr w:type="spellStart"/>
      <w:r w:rsidR="00043309">
        <w:t>Vay</w:t>
      </w:r>
      <w:proofErr w:type="spellEnd"/>
      <w:r w:rsidR="00043309">
        <w:t xml:space="preserve"> […]. </w:t>
      </w:r>
    </w:p>
    <w:p w14:paraId="03B4F3A4" w14:textId="77777777" w:rsidR="00043309" w:rsidRPr="00043309" w:rsidRDefault="00043309" w:rsidP="005B275B">
      <w:pPr>
        <w:pStyle w:val="Citationsources"/>
        <w:ind w:right="1076"/>
      </w:pPr>
      <w:r>
        <w:t xml:space="preserve">Registres paroissiaux de </w:t>
      </w:r>
      <w:r w:rsidRPr="00043309">
        <w:rPr>
          <w:smallCaps/>
        </w:rPr>
        <w:t>Marsac</w:t>
      </w:r>
      <w:r>
        <w:t xml:space="preserve">, Archives départementales de Loire-Atlantique, </w:t>
      </w:r>
      <w:r w:rsidR="00783354">
        <w:br/>
        <w:t xml:space="preserve">Registre des sépultures, Marsac – Saint-Martin, 1567-1616, numérisé et disponible via le lien </w:t>
      </w:r>
      <w:r w:rsidR="00783354">
        <w:sym w:font="Wingdings" w:char="F0E0"/>
      </w:r>
      <w:r w:rsidR="00783354">
        <w:t xml:space="preserve"> </w:t>
      </w:r>
      <w:r>
        <w:t xml:space="preserve"> </w:t>
      </w:r>
    </w:p>
    <w:p w14:paraId="4FF39971" w14:textId="77777777" w:rsidR="00820F2A" w:rsidRPr="00753471" w:rsidRDefault="00820F2A" w:rsidP="00753471">
      <w:pPr>
        <w:pStyle w:val="Titre2"/>
        <w:spacing w:before="240" w:after="120"/>
      </w:pPr>
      <w:r w:rsidRPr="00043309">
        <w:t>Document 2</w:t>
      </w:r>
      <w:r>
        <w:t>b</w:t>
      </w:r>
      <w:r w:rsidRPr="00043309">
        <w:t xml:space="preserve">. </w:t>
      </w:r>
      <w:r w:rsidR="00753471">
        <w:t xml:space="preserve">Des crises démographiques en Bretagne au </w:t>
      </w:r>
      <w:proofErr w:type="spellStart"/>
      <w:r w:rsidR="00753471">
        <w:rPr>
          <w:smallCaps/>
        </w:rPr>
        <w:t>xvi</w:t>
      </w:r>
      <w:r w:rsidR="00753471" w:rsidRPr="00753471">
        <w:rPr>
          <w:vertAlign w:val="superscript"/>
        </w:rPr>
        <w:t>e</w:t>
      </w:r>
      <w:proofErr w:type="spellEnd"/>
      <w:r w:rsidR="00753471">
        <w:t xml:space="preserve"> siècle</w:t>
      </w:r>
    </w:p>
    <w:p w14:paraId="4F526D1A" w14:textId="77777777" w:rsidR="00212D9F" w:rsidRDefault="00257BA7" w:rsidP="00753471">
      <w:pPr>
        <w:pStyle w:val="Sansinterligne"/>
        <w:spacing w:before="120"/>
        <w:ind w:left="-426" w:right="-483"/>
        <w:jc w:val="center"/>
      </w:pPr>
      <w:r w:rsidRPr="00257BA7">
        <w:rPr>
          <w:noProof/>
        </w:rPr>
        <w:drawing>
          <wp:inline distT="0" distB="0" distL="0" distR="0" wp14:anchorId="3903FFB2" wp14:editId="69751366">
            <wp:extent cx="2377440" cy="5554767"/>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2070" t="20006" r="57216" b="11480"/>
                    <a:stretch/>
                  </pic:blipFill>
                  <pic:spPr bwMode="auto">
                    <a:xfrm>
                      <a:off x="0" y="0"/>
                      <a:ext cx="2377953" cy="5555966"/>
                    </a:xfrm>
                    <a:prstGeom prst="rect">
                      <a:avLst/>
                    </a:prstGeom>
                    <a:ln>
                      <a:noFill/>
                    </a:ln>
                    <a:extLst>
                      <a:ext uri="{53640926-AAD7-44D8-BBD7-CCE9431645EC}">
                        <a14:shadowObscured xmlns:a14="http://schemas.microsoft.com/office/drawing/2010/main"/>
                      </a:ext>
                    </a:extLst>
                  </pic:spPr>
                </pic:pic>
              </a:graphicData>
            </a:graphic>
          </wp:inline>
        </w:drawing>
      </w:r>
      <w:r w:rsidRPr="00257BA7">
        <w:rPr>
          <w:noProof/>
        </w:rPr>
        <w:drawing>
          <wp:inline distT="0" distB="0" distL="0" distR="0" wp14:anchorId="4B7611B0" wp14:editId="0B915A6B">
            <wp:extent cx="3714750" cy="5514681"/>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4593" t="9592" r="7851" b="11480"/>
                    <a:stretch/>
                  </pic:blipFill>
                  <pic:spPr bwMode="auto">
                    <a:xfrm>
                      <a:off x="0" y="0"/>
                      <a:ext cx="3721588" cy="5524833"/>
                    </a:xfrm>
                    <a:prstGeom prst="rect">
                      <a:avLst/>
                    </a:prstGeom>
                    <a:ln>
                      <a:noFill/>
                    </a:ln>
                    <a:extLst>
                      <a:ext uri="{53640926-AAD7-44D8-BBD7-CCE9431645EC}">
                        <a14:shadowObscured xmlns:a14="http://schemas.microsoft.com/office/drawing/2010/main"/>
                      </a:ext>
                    </a:extLst>
                  </pic:spPr>
                </pic:pic>
              </a:graphicData>
            </a:graphic>
          </wp:inline>
        </w:drawing>
      </w:r>
    </w:p>
    <w:p w14:paraId="28304B40" w14:textId="77777777" w:rsidR="00257BA7" w:rsidRPr="00043309" w:rsidRDefault="00043309" w:rsidP="00043309">
      <w:pPr>
        <w:pStyle w:val="Citationsources"/>
        <w:spacing w:before="0"/>
      </w:pPr>
      <w:r>
        <w:t xml:space="preserve">Alain </w:t>
      </w:r>
      <w:r w:rsidRPr="00043309">
        <w:rPr>
          <w:smallCaps/>
        </w:rPr>
        <w:t>Croix</w:t>
      </w:r>
      <w:r>
        <w:t xml:space="preserve">, </w:t>
      </w:r>
      <w:r>
        <w:rPr>
          <w:i/>
        </w:rPr>
        <w:t>La Bretagne aux 16</w:t>
      </w:r>
      <w:r w:rsidRPr="00043309">
        <w:rPr>
          <w:i/>
          <w:vertAlign w:val="superscript"/>
        </w:rPr>
        <w:t>e</w:t>
      </w:r>
      <w:r>
        <w:rPr>
          <w:i/>
        </w:rPr>
        <w:t xml:space="preserve"> et 17</w:t>
      </w:r>
      <w:r w:rsidRPr="00043309">
        <w:rPr>
          <w:i/>
          <w:vertAlign w:val="superscript"/>
        </w:rPr>
        <w:t>e</w:t>
      </w:r>
      <w:r>
        <w:rPr>
          <w:i/>
        </w:rPr>
        <w:t xml:space="preserve"> siècles : la vie, la mort, la foi</w:t>
      </w:r>
      <w:r>
        <w:t xml:space="preserve">, </w:t>
      </w:r>
      <w:r>
        <w:br/>
        <w:t xml:space="preserve">2 vol., Paris, Maloine S. A. Éditeur, 1981, vol. 1, p. 266-267. </w:t>
      </w:r>
    </w:p>
    <w:p w14:paraId="5FC390B1" w14:textId="77777777" w:rsidR="00874F11" w:rsidRDefault="00B43334" w:rsidP="00266E23">
      <w:pPr>
        <w:pStyle w:val="Titre1"/>
      </w:pPr>
      <w:r w:rsidRPr="00620E44">
        <w:lastRenderedPageBreak/>
        <w:t xml:space="preserve">Document </w:t>
      </w:r>
      <w:r>
        <w:t>3</w:t>
      </w:r>
      <w:r w:rsidRPr="00620E44">
        <w:t xml:space="preserve">. </w:t>
      </w:r>
      <w:r w:rsidR="00AF4E60">
        <w:t xml:space="preserve">Le rapport à la maladie et à la mort dans l’Ancien régime </w:t>
      </w:r>
    </w:p>
    <w:p w14:paraId="6C92CA36" w14:textId="77777777" w:rsidR="00266E23" w:rsidRDefault="00266E23" w:rsidP="00266E23">
      <w:r>
        <w:rPr>
          <w:rFonts w:ascii="Times New Roman" w:hAnsi="Times New Roman" w:cs="Times New Roman"/>
        </w:rPr>
        <w:t>[</w:t>
      </w:r>
      <w:r>
        <w:t>...</w:t>
      </w:r>
      <w:r>
        <w:rPr>
          <w:rFonts w:ascii="Times New Roman" w:hAnsi="Times New Roman" w:cs="Times New Roman"/>
        </w:rPr>
        <w:t>]</w:t>
      </w:r>
      <w:r w:rsidRPr="00266E23">
        <w:t xml:space="preserve"> En France, les provinces de Provence et du Languedoc mirent en place les premières institutions sanitaires contre la peste, sans doute parce qu’elles commerçaient activement avec les ports de la Méditerranée et le Levant où le bacille prospérait, probablement aussi en raison de leurs liens avec la péninsule italienne. Entre le </w:t>
      </w:r>
      <w:proofErr w:type="spellStart"/>
      <w:r w:rsidRPr="00266E23">
        <w:rPr>
          <w:smallCaps/>
        </w:rPr>
        <w:t>xv</w:t>
      </w:r>
      <w:r w:rsidRPr="00266E23">
        <w:rPr>
          <w:vertAlign w:val="superscript"/>
        </w:rPr>
        <w:t>e</w:t>
      </w:r>
      <w:proofErr w:type="spellEnd"/>
      <w:r w:rsidRPr="00266E23">
        <w:t xml:space="preserve"> et le début du </w:t>
      </w:r>
      <w:proofErr w:type="spellStart"/>
      <w:r w:rsidRPr="00266E23">
        <w:rPr>
          <w:smallCaps/>
        </w:rPr>
        <w:t>xvii</w:t>
      </w:r>
      <w:r w:rsidRPr="00266E23">
        <w:rPr>
          <w:vertAlign w:val="superscript"/>
        </w:rPr>
        <w:t>e</w:t>
      </w:r>
      <w:proofErr w:type="spellEnd"/>
      <w:r w:rsidRPr="00266E23">
        <w:t xml:space="preserve"> siècle, toutes les villes du royaume instaurèrent un corps administratif spécialisé dans la lutte contre la peste. À Paris, en 1531, des Prévôts de santé, revêtus d’une casaque noire barrée d’une croix blanche, parcouraient la ville, assistés d’archers, pour dépister les malades et les envoyer à l’Hôtel-Dieu ; ils obligeaient leurs proches à se déplacer munis d’un bâton blanc et clouaient une croix de bois sur la porte de leur maison. Ils surveillaient la propreté des rues dont ils chassaient les animaux, les mendiants et les lépreux, ils interdisaient les bains publics, les marchés, tous les rassemblements en général. À Lyon depuis 1581, un Bureau de la Santé – où se côtoyaient magistrats, médecins et bourgeois de la ville –, était désigné par le prévôt des marchands et les échevins. Disposant de pouvoirs indépendants de ceux du consulat, il émettait et imposait des ordonnances ; il détenait, en particulier, le droit d’infliger des peines aux contrevenants. </w:t>
      </w:r>
      <w:r w:rsidR="004C026B">
        <w:rPr>
          <w:rFonts w:ascii="Times New Roman" w:hAnsi="Times New Roman" w:cs="Times New Roman"/>
        </w:rPr>
        <w:t>[</w:t>
      </w:r>
      <w:r w:rsidR="004C026B">
        <w:t>...</w:t>
      </w:r>
      <w:r w:rsidR="004C026B">
        <w:rPr>
          <w:rFonts w:ascii="Times New Roman" w:hAnsi="Times New Roman" w:cs="Times New Roman"/>
        </w:rPr>
        <w:t>]</w:t>
      </w:r>
      <w:r w:rsidR="004C026B">
        <w:t xml:space="preserve"> </w:t>
      </w:r>
    </w:p>
    <w:p w14:paraId="566479BE" w14:textId="77777777" w:rsidR="00266E23" w:rsidRDefault="00266E23" w:rsidP="00266E23">
      <w:r w:rsidRPr="00266E23">
        <w:t>Dans les faits, de nombreux obstacles empêchèrent ou restreignirent l’application des règlements de peste en temps d’épidémie. C’est ainsi que les modalités de « publication » de la maladie n’y furent jamais codifiées, alors que sa déclaration précoce aurait certainement facilité et accru l’efficacité de la lutte.</w:t>
      </w:r>
      <w:r>
        <w:t xml:space="preserve"> </w:t>
      </w:r>
      <w:r>
        <w:rPr>
          <w:rFonts w:ascii="Times New Roman" w:hAnsi="Times New Roman" w:cs="Times New Roman"/>
        </w:rPr>
        <w:t>[</w:t>
      </w:r>
      <w:r>
        <w:t>...</w:t>
      </w:r>
      <w:r>
        <w:rPr>
          <w:rFonts w:ascii="Times New Roman" w:hAnsi="Times New Roman" w:cs="Times New Roman"/>
        </w:rPr>
        <w:t>]</w:t>
      </w:r>
      <w:r>
        <w:t xml:space="preserve"> </w:t>
      </w:r>
      <w:r w:rsidRPr="00266E23">
        <w:t>Il est vrai que la « publication » de la peste déclenchait en général une crise économique et sociale. Les municipalités devaient constituer des réserves alimentaires pour nourrir les malades et les populations mises en quarantaine, alors que les impôts ne rentraient plus.</w:t>
      </w:r>
      <w:r>
        <w:t xml:space="preserve"> </w:t>
      </w:r>
      <w:r>
        <w:rPr>
          <w:rFonts w:ascii="Times New Roman" w:hAnsi="Times New Roman" w:cs="Times New Roman"/>
        </w:rPr>
        <w:t>[</w:t>
      </w:r>
      <w:r>
        <w:t>...</w:t>
      </w:r>
      <w:r>
        <w:rPr>
          <w:rFonts w:ascii="Times New Roman" w:hAnsi="Times New Roman" w:cs="Times New Roman"/>
        </w:rPr>
        <w:t>]</w:t>
      </w:r>
      <w:r>
        <w:t xml:space="preserve"> </w:t>
      </w:r>
      <w:r w:rsidRPr="00266E23">
        <w:t>Ainsi les autorités municipales, principales responsables de la prévention et de la lutte contre les épidémies pesteuses, étaient-elles confrontées à un dilemme politique et sanitaire lorsqu’une suspicion de peste pesait sur leurs administrés. Disposant des structures et des règlements qui leur permettaient d’agir, elles préféraient le plus souvent attendre… au risque de voir la contamination s’étendre.</w:t>
      </w:r>
    </w:p>
    <w:p w14:paraId="679F5F3D" w14:textId="77777777" w:rsidR="00266E23" w:rsidRPr="00266E23" w:rsidRDefault="00266E23" w:rsidP="004C026B">
      <w:pPr>
        <w:pStyle w:val="Citationsources"/>
        <w:spacing w:before="120"/>
      </w:pPr>
      <w:r w:rsidRPr="00266E23">
        <w:rPr>
          <w:rFonts w:eastAsia="Times New Roman"/>
          <w:lang w:eastAsia="fr-FR"/>
        </w:rPr>
        <w:t>Élisabeth</w:t>
      </w:r>
      <w:r>
        <w:rPr>
          <w:rFonts w:eastAsia="Times New Roman"/>
          <w:lang w:eastAsia="fr-FR"/>
        </w:rPr>
        <w:t xml:space="preserve"> </w:t>
      </w:r>
      <w:r>
        <w:rPr>
          <w:rFonts w:eastAsia="Times New Roman"/>
          <w:smallCaps/>
          <w:lang w:eastAsia="fr-FR"/>
        </w:rPr>
        <w:t>Belmas</w:t>
      </w:r>
      <w:r w:rsidRPr="00266E23">
        <w:rPr>
          <w:rFonts w:eastAsia="Times New Roman"/>
          <w:lang w:eastAsia="fr-FR"/>
        </w:rPr>
        <w:t xml:space="preserve">, « Pouvoir politique et catastrophe sanitaire : la « publication » </w:t>
      </w:r>
      <w:r>
        <w:rPr>
          <w:rFonts w:eastAsia="Times New Roman"/>
          <w:lang w:eastAsia="fr-FR"/>
        </w:rPr>
        <w:br/>
      </w:r>
      <w:r w:rsidRPr="00266E23">
        <w:rPr>
          <w:rFonts w:eastAsia="Times New Roman"/>
          <w:lang w:eastAsia="fr-FR"/>
        </w:rPr>
        <w:t xml:space="preserve">des épidémies de peste dans la France moderne », </w:t>
      </w:r>
      <w:r w:rsidRPr="00266E23">
        <w:rPr>
          <w:rFonts w:eastAsia="Times New Roman"/>
          <w:i/>
          <w:lang w:eastAsia="fr-FR"/>
        </w:rPr>
        <w:t>Parlement(s)</w:t>
      </w:r>
      <w:r w:rsidRPr="00266E23">
        <w:rPr>
          <w:rFonts w:eastAsia="Times New Roman"/>
          <w:lang w:eastAsia="fr-FR"/>
        </w:rPr>
        <w:t>, 2017, 25-1, p. 31-54</w:t>
      </w:r>
      <w:r>
        <w:rPr>
          <w:rFonts w:eastAsia="Times New Roman"/>
          <w:lang w:eastAsia="fr-FR"/>
        </w:rPr>
        <w:t>.</w:t>
      </w:r>
    </w:p>
    <w:p w14:paraId="6815929B" w14:textId="77777777" w:rsidR="00874F11" w:rsidRDefault="00874F11" w:rsidP="00874F11">
      <w:pPr>
        <w:pStyle w:val="Titre1"/>
      </w:pPr>
      <w:r>
        <w:sym w:font="Wingdings" w:char="F026"/>
      </w:r>
      <w:r>
        <w:t xml:space="preserve"> </w:t>
      </w:r>
      <w:r w:rsidRPr="001876DF">
        <w:t>Bibliographie sélective</w:t>
      </w:r>
      <w:r>
        <w:t xml:space="preserve"> </w:t>
      </w:r>
    </w:p>
    <w:p w14:paraId="1EA63048" w14:textId="77777777" w:rsidR="00392079" w:rsidRPr="004C026B" w:rsidRDefault="00740366" w:rsidP="004C026B">
      <w:pPr>
        <w:pStyle w:val="Biblio"/>
        <w:spacing w:before="60" w:after="60"/>
        <w:rPr>
          <w:smallCaps w:val="0"/>
          <w:sz w:val="21"/>
        </w:rPr>
      </w:pPr>
      <w:proofErr w:type="spellStart"/>
      <w:r w:rsidRPr="004C026B">
        <w:rPr>
          <w:sz w:val="21"/>
        </w:rPr>
        <w:t>Hildesheimer</w:t>
      </w:r>
      <w:proofErr w:type="spellEnd"/>
      <w:r w:rsidRPr="004C026B">
        <w:rPr>
          <w:smallCaps w:val="0"/>
          <w:sz w:val="21"/>
        </w:rPr>
        <w:t xml:space="preserve">, Françoise, </w:t>
      </w:r>
      <w:r w:rsidR="00602DF5" w:rsidRPr="004C026B">
        <w:rPr>
          <w:smallCaps w:val="0"/>
          <w:sz w:val="21"/>
        </w:rPr>
        <w:t xml:space="preserve">« Épidémies », </w:t>
      </w:r>
      <w:r w:rsidR="004D3198" w:rsidRPr="004C026B">
        <w:rPr>
          <w:smallCaps w:val="0"/>
          <w:sz w:val="21"/>
        </w:rPr>
        <w:t xml:space="preserve">« </w:t>
      </w:r>
      <w:r w:rsidRPr="004C026B">
        <w:rPr>
          <w:smallCaps w:val="0"/>
          <w:sz w:val="21"/>
        </w:rPr>
        <w:t>Peste</w:t>
      </w:r>
      <w:r w:rsidR="004D3198" w:rsidRPr="004C026B">
        <w:rPr>
          <w:smallCaps w:val="0"/>
          <w:sz w:val="21"/>
        </w:rPr>
        <w:t xml:space="preserve"> », dans Lucien </w:t>
      </w:r>
      <w:proofErr w:type="spellStart"/>
      <w:r w:rsidR="004D3198" w:rsidRPr="004C026B">
        <w:rPr>
          <w:sz w:val="21"/>
        </w:rPr>
        <w:t>Bély</w:t>
      </w:r>
      <w:proofErr w:type="spellEnd"/>
      <w:r w:rsidR="004D3198" w:rsidRPr="004C026B">
        <w:rPr>
          <w:smallCaps w:val="0"/>
          <w:sz w:val="21"/>
        </w:rPr>
        <w:t xml:space="preserve"> (dir.), </w:t>
      </w:r>
      <w:r w:rsidR="004D3198" w:rsidRPr="004C026B">
        <w:rPr>
          <w:i/>
          <w:smallCaps w:val="0"/>
          <w:sz w:val="21"/>
        </w:rPr>
        <w:t>Dictionnaire de l’Ancien régime</w:t>
      </w:r>
      <w:r w:rsidR="004D3198" w:rsidRPr="004C026B">
        <w:rPr>
          <w:smallCaps w:val="0"/>
          <w:sz w:val="21"/>
        </w:rPr>
        <w:t>, Paris, Presses universitaires de France, 1996, p.</w:t>
      </w:r>
      <w:r w:rsidR="00602DF5" w:rsidRPr="004C026B">
        <w:rPr>
          <w:smallCaps w:val="0"/>
          <w:sz w:val="21"/>
        </w:rPr>
        <w:t xml:space="preserve"> 494-495 et 983-985</w:t>
      </w:r>
      <w:r w:rsidR="004D3198" w:rsidRPr="004C026B">
        <w:rPr>
          <w:smallCaps w:val="0"/>
          <w:sz w:val="21"/>
        </w:rPr>
        <w:t xml:space="preserve">. </w:t>
      </w:r>
    </w:p>
    <w:p w14:paraId="68970A2D" w14:textId="77777777" w:rsidR="006F6490" w:rsidRPr="004C026B" w:rsidRDefault="006F6490" w:rsidP="004C026B">
      <w:pPr>
        <w:pStyle w:val="Biblio"/>
        <w:spacing w:before="60" w:after="60"/>
        <w:rPr>
          <w:smallCaps w:val="0"/>
          <w:sz w:val="21"/>
        </w:rPr>
      </w:pPr>
      <w:r w:rsidRPr="004C026B">
        <w:rPr>
          <w:sz w:val="21"/>
        </w:rPr>
        <w:t>Croix</w:t>
      </w:r>
      <w:r w:rsidRPr="004C026B">
        <w:rPr>
          <w:smallCaps w:val="0"/>
          <w:sz w:val="21"/>
        </w:rPr>
        <w:t xml:space="preserve">, Alain, </w:t>
      </w:r>
      <w:r w:rsidRPr="004C026B">
        <w:rPr>
          <w:i/>
          <w:smallCaps w:val="0"/>
          <w:sz w:val="21"/>
        </w:rPr>
        <w:t>La Bretagne aux 16</w:t>
      </w:r>
      <w:r w:rsidRPr="004C026B">
        <w:rPr>
          <w:i/>
          <w:smallCaps w:val="0"/>
          <w:sz w:val="21"/>
          <w:vertAlign w:val="superscript"/>
        </w:rPr>
        <w:t>e</w:t>
      </w:r>
      <w:r w:rsidRPr="004C026B">
        <w:rPr>
          <w:i/>
          <w:smallCaps w:val="0"/>
          <w:sz w:val="21"/>
        </w:rPr>
        <w:t xml:space="preserve"> et 17</w:t>
      </w:r>
      <w:r w:rsidRPr="004C026B">
        <w:rPr>
          <w:i/>
          <w:smallCaps w:val="0"/>
          <w:sz w:val="21"/>
          <w:vertAlign w:val="superscript"/>
        </w:rPr>
        <w:t>e</w:t>
      </w:r>
      <w:r w:rsidRPr="004C026B">
        <w:rPr>
          <w:i/>
          <w:smallCaps w:val="0"/>
          <w:sz w:val="21"/>
        </w:rPr>
        <w:t xml:space="preserve"> siècles : la vie, la mort, la foi</w:t>
      </w:r>
      <w:r w:rsidRPr="004C026B">
        <w:rPr>
          <w:smallCaps w:val="0"/>
          <w:sz w:val="21"/>
        </w:rPr>
        <w:t xml:space="preserve">, 2 vol., Paris, Maloine S. A. Éditeur, 1981. </w:t>
      </w:r>
    </w:p>
    <w:p w14:paraId="056E6041" w14:textId="77777777" w:rsidR="00DD7BD3" w:rsidRPr="004C026B" w:rsidRDefault="00E25BA6" w:rsidP="004C026B">
      <w:pPr>
        <w:pStyle w:val="Biblio"/>
        <w:spacing w:before="60" w:after="60"/>
        <w:rPr>
          <w:rFonts w:eastAsia="Times New Roman"/>
          <w:smallCaps w:val="0"/>
          <w:color w:val="000000" w:themeColor="text1"/>
          <w:sz w:val="21"/>
          <w:lang w:eastAsia="fr-FR"/>
        </w:rPr>
      </w:pPr>
      <w:r w:rsidRPr="004C026B">
        <w:rPr>
          <w:rFonts w:eastAsia="Times New Roman"/>
          <w:sz w:val="21"/>
          <w:lang w:eastAsia="fr-FR"/>
        </w:rPr>
        <w:t>Séguy</w:t>
      </w:r>
      <w:r w:rsidRPr="004C026B">
        <w:rPr>
          <w:rFonts w:eastAsia="Times New Roman"/>
          <w:smallCaps w:val="0"/>
          <w:sz w:val="21"/>
          <w:lang w:eastAsia="fr-FR"/>
        </w:rPr>
        <w:t xml:space="preserve">, Isabelle, </w:t>
      </w:r>
      <w:proofErr w:type="spellStart"/>
      <w:r w:rsidRPr="004C026B">
        <w:rPr>
          <w:rFonts w:eastAsia="Times New Roman"/>
          <w:smallCaps w:val="0"/>
          <w:sz w:val="21"/>
          <w:lang w:eastAsia="fr-FR"/>
        </w:rPr>
        <w:t>A</w:t>
      </w:r>
      <w:r w:rsidRPr="004C026B">
        <w:rPr>
          <w:rFonts w:eastAsia="Times New Roman"/>
          <w:sz w:val="21"/>
          <w:lang w:eastAsia="fr-FR"/>
        </w:rPr>
        <w:t>lfani</w:t>
      </w:r>
      <w:proofErr w:type="spellEnd"/>
      <w:r w:rsidRPr="004C026B">
        <w:rPr>
          <w:rFonts w:eastAsia="Times New Roman"/>
          <w:smallCaps w:val="0"/>
          <w:sz w:val="21"/>
          <w:lang w:eastAsia="fr-FR"/>
        </w:rPr>
        <w:t xml:space="preserve"> Guido, « La peste</w:t>
      </w:r>
      <w:r w:rsidRPr="004C026B">
        <w:rPr>
          <w:rFonts w:ascii="Times New Roman" w:eastAsia="Times New Roman" w:hAnsi="Times New Roman" w:cs="Times New Roman"/>
          <w:smallCaps w:val="0"/>
          <w:sz w:val="21"/>
          <w:lang w:eastAsia="fr-FR"/>
        </w:rPr>
        <w:t> </w:t>
      </w:r>
      <w:r w:rsidRPr="004C026B">
        <w:rPr>
          <w:rFonts w:eastAsia="Times New Roman"/>
          <w:smallCaps w:val="0"/>
          <w:sz w:val="21"/>
          <w:lang w:eastAsia="fr-FR"/>
        </w:rPr>
        <w:t xml:space="preserve">: bref état des connaissances actuelles », </w:t>
      </w:r>
      <w:r w:rsidRPr="004C026B">
        <w:rPr>
          <w:rFonts w:eastAsia="Times New Roman"/>
          <w:i/>
          <w:iCs/>
          <w:smallCaps w:val="0"/>
          <w:sz w:val="21"/>
          <w:lang w:eastAsia="fr-FR"/>
        </w:rPr>
        <w:t>Annales de démographie historique</w:t>
      </w:r>
      <w:r w:rsidRPr="004C026B">
        <w:rPr>
          <w:rFonts w:eastAsia="Times New Roman"/>
          <w:smallCaps w:val="0"/>
          <w:sz w:val="21"/>
          <w:lang w:eastAsia="fr-FR"/>
        </w:rPr>
        <w:t>, 2017, 134-2, p. </w:t>
      </w:r>
      <w:r w:rsidRPr="004C026B">
        <w:rPr>
          <w:rFonts w:eastAsia="Times New Roman"/>
          <w:smallCaps w:val="0"/>
          <w:color w:val="000000" w:themeColor="text1"/>
          <w:sz w:val="21"/>
          <w:lang w:eastAsia="fr-FR"/>
        </w:rPr>
        <w:t>15</w:t>
      </w:r>
      <w:r w:rsidRPr="004C026B">
        <w:rPr>
          <w:rFonts w:eastAsia="Times New Roman"/>
          <w:smallCaps w:val="0"/>
          <w:color w:val="000000" w:themeColor="text1"/>
          <w:sz w:val="21"/>
          <w:lang w:eastAsia="fr-FR"/>
        </w:rPr>
        <w:noBreakHyphen/>
        <w:t>38</w:t>
      </w:r>
      <w:r w:rsidR="00392079" w:rsidRPr="004C026B">
        <w:rPr>
          <w:rFonts w:eastAsia="Times New Roman"/>
          <w:smallCaps w:val="0"/>
          <w:color w:val="000000" w:themeColor="text1"/>
          <w:sz w:val="21"/>
          <w:lang w:eastAsia="fr-FR"/>
        </w:rPr>
        <w:t xml:space="preserve"> </w:t>
      </w:r>
      <w:r w:rsidR="00392079" w:rsidRPr="004C026B">
        <w:rPr>
          <w:rFonts w:eastAsia="Times New Roman" w:cs="Times New Roman"/>
          <w:smallCaps w:val="0"/>
          <w:color w:val="000000" w:themeColor="text1"/>
          <w:sz w:val="21"/>
          <w:lang w:eastAsia="fr-FR"/>
        </w:rPr>
        <w:t>[</w:t>
      </w:r>
      <w:hyperlink r:id="rId15" w:history="1">
        <w:r w:rsidR="00392079" w:rsidRPr="004C026B">
          <w:rPr>
            <w:rStyle w:val="Lienhypertexte"/>
            <w:rFonts w:eastAsia="Times New Roman"/>
            <w:smallCaps w:val="0"/>
            <w:color w:val="000000" w:themeColor="text1"/>
            <w:sz w:val="21"/>
            <w:u w:val="none"/>
            <w:lang w:eastAsia="fr-FR"/>
          </w:rPr>
          <w:t>En ligne</w:t>
        </w:r>
      </w:hyperlink>
      <w:r w:rsidR="00392079" w:rsidRPr="004C026B">
        <w:rPr>
          <w:rFonts w:eastAsia="Times New Roman" w:cs="Times New Roman"/>
          <w:smallCaps w:val="0"/>
          <w:color w:val="000000" w:themeColor="text1"/>
          <w:sz w:val="21"/>
          <w:lang w:eastAsia="fr-FR"/>
        </w:rPr>
        <w:t>]</w:t>
      </w:r>
      <w:r w:rsidR="00392079" w:rsidRPr="004C026B">
        <w:rPr>
          <w:rFonts w:eastAsia="Times New Roman"/>
          <w:smallCaps w:val="0"/>
          <w:color w:val="000000" w:themeColor="text1"/>
          <w:sz w:val="21"/>
          <w:lang w:eastAsia="fr-FR"/>
        </w:rPr>
        <w:t xml:space="preserve">. </w:t>
      </w:r>
    </w:p>
    <w:p w14:paraId="766F5369" w14:textId="77777777" w:rsidR="00DD7BD3" w:rsidRPr="004C026B" w:rsidRDefault="00392079" w:rsidP="004C026B">
      <w:pPr>
        <w:pStyle w:val="Biblio"/>
        <w:spacing w:before="60" w:after="60"/>
        <w:rPr>
          <w:rFonts w:eastAsia="Times New Roman"/>
          <w:smallCaps w:val="0"/>
          <w:color w:val="000000" w:themeColor="text1"/>
          <w:sz w:val="21"/>
          <w:lang w:eastAsia="fr-FR"/>
        </w:rPr>
      </w:pPr>
      <w:r w:rsidRPr="004C026B">
        <w:rPr>
          <w:rFonts w:eastAsia="Times New Roman"/>
          <w:color w:val="000000" w:themeColor="text1"/>
          <w:sz w:val="21"/>
          <w:lang w:eastAsia="fr-FR"/>
        </w:rPr>
        <w:t>Belmas</w:t>
      </w:r>
      <w:r w:rsidRPr="004C026B">
        <w:rPr>
          <w:rFonts w:eastAsia="Times New Roman"/>
          <w:smallCaps w:val="0"/>
          <w:color w:val="000000" w:themeColor="text1"/>
          <w:sz w:val="21"/>
          <w:lang w:eastAsia="fr-FR"/>
        </w:rPr>
        <w:t xml:space="preserve">, Élisabeth, « Pouvoir politique et catastrophe sanitaire : la « publication » des épidémies de peste dans la France moderne », </w:t>
      </w:r>
      <w:r w:rsidRPr="004C026B">
        <w:rPr>
          <w:rFonts w:eastAsia="Times New Roman"/>
          <w:i/>
          <w:smallCaps w:val="0"/>
          <w:color w:val="000000" w:themeColor="text1"/>
          <w:sz w:val="21"/>
          <w:lang w:eastAsia="fr-FR"/>
        </w:rPr>
        <w:t>Parlement(s)</w:t>
      </w:r>
      <w:r w:rsidRPr="004C026B">
        <w:rPr>
          <w:rFonts w:eastAsia="Times New Roman"/>
          <w:smallCaps w:val="0"/>
          <w:color w:val="000000" w:themeColor="text1"/>
          <w:sz w:val="21"/>
          <w:lang w:eastAsia="fr-FR"/>
        </w:rPr>
        <w:t xml:space="preserve">, 2017, 25-1, p. 31-54 </w:t>
      </w:r>
      <w:r w:rsidRPr="004C026B">
        <w:rPr>
          <w:rFonts w:eastAsia="Times New Roman" w:cs="Times New Roman"/>
          <w:smallCaps w:val="0"/>
          <w:color w:val="000000" w:themeColor="text1"/>
          <w:sz w:val="21"/>
          <w:lang w:eastAsia="fr-FR"/>
        </w:rPr>
        <w:t>[</w:t>
      </w:r>
      <w:hyperlink r:id="rId16" w:history="1">
        <w:r w:rsidRPr="004C026B">
          <w:rPr>
            <w:rStyle w:val="Lienhypertexte"/>
            <w:rFonts w:eastAsia="Times New Roman"/>
            <w:smallCaps w:val="0"/>
            <w:color w:val="000000" w:themeColor="text1"/>
            <w:sz w:val="21"/>
            <w:u w:val="none"/>
            <w:lang w:eastAsia="fr-FR"/>
          </w:rPr>
          <w:t>En ligne</w:t>
        </w:r>
      </w:hyperlink>
      <w:r w:rsidRPr="004C026B">
        <w:rPr>
          <w:rFonts w:eastAsia="Times New Roman" w:cs="Times New Roman"/>
          <w:smallCaps w:val="0"/>
          <w:color w:val="000000" w:themeColor="text1"/>
          <w:sz w:val="21"/>
          <w:lang w:eastAsia="fr-FR"/>
        </w:rPr>
        <w:t>]</w:t>
      </w:r>
      <w:r w:rsidRPr="004C026B">
        <w:rPr>
          <w:rFonts w:eastAsia="Times New Roman"/>
          <w:smallCaps w:val="0"/>
          <w:color w:val="000000" w:themeColor="text1"/>
          <w:sz w:val="21"/>
          <w:lang w:eastAsia="fr-FR"/>
        </w:rPr>
        <w:t>.</w:t>
      </w:r>
    </w:p>
    <w:p w14:paraId="27DFCD05" w14:textId="77777777" w:rsidR="00DD7BD3" w:rsidRDefault="00DD7BD3" w:rsidP="00DD7BD3">
      <w:pPr>
        <w:pStyle w:val="Titre1"/>
      </w:pPr>
      <w:r>
        <w:sym w:font="Wingdings" w:char="F025"/>
      </w:r>
      <w:r w:rsidRPr="001876DF">
        <w:t xml:space="preserve"> L’actualité de la recherche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84"/>
        <w:gridCol w:w="1514"/>
      </w:tblGrid>
      <w:tr w:rsidR="00DD7BD3" w14:paraId="6DE95F34" w14:textId="77777777" w:rsidTr="000E16A3">
        <w:tc>
          <w:tcPr>
            <w:tcW w:w="9298" w:type="dxa"/>
            <w:gridSpan w:val="2"/>
          </w:tcPr>
          <w:p w14:paraId="4FC9059E" w14:textId="77777777" w:rsidR="00DD7BD3" w:rsidRDefault="00DD7BD3" w:rsidP="00DD7BD3">
            <w:pPr>
              <w:spacing w:before="60" w:after="120"/>
              <w:ind w:firstLine="0"/>
              <w:jc w:val="left"/>
              <w:rPr>
                <w:szCs w:val="20"/>
              </w:rPr>
            </w:pPr>
            <w:r>
              <w:rPr>
                <w:szCs w:val="20"/>
              </w:rPr>
              <w:t xml:space="preserve">Patrick </w:t>
            </w:r>
            <w:r>
              <w:rPr>
                <w:smallCaps/>
                <w:szCs w:val="20"/>
              </w:rPr>
              <w:t>Boucheron</w:t>
            </w:r>
            <w:r>
              <w:rPr>
                <w:szCs w:val="20"/>
              </w:rPr>
              <w:t>, « La peste noire » et « Après la peste noire », cours au collège de France, 2020-2021</w:t>
            </w:r>
            <w:r w:rsidRPr="004D4C35">
              <w:rPr>
                <w:szCs w:val="20"/>
              </w:rPr>
              <w:t xml:space="preserve">. </w:t>
            </w:r>
          </w:p>
        </w:tc>
      </w:tr>
      <w:tr w:rsidR="00E25BA6" w14:paraId="7E4755AC" w14:textId="77777777" w:rsidTr="000E16A3">
        <w:trPr>
          <w:trHeight w:val="1098"/>
        </w:trPr>
        <w:tc>
          <w:tcPr>
            <w:tcW w:w="9298" w:type="dxa"/>
            <w:gridSpan w:val="2"/>
          </w:tcPr>
          <w:p w14:paraId="2CF641CE" w14:textId="77777777" w:rsidR="00E25BA6" w:rsidRPr="00DD7BD3" w:rsidRDefault="00E25BA6" w:rsidP="003B6D37">
            <w:pPr>
              <w:pStyle w:val="Biblio"/>
              <w:spacing w:before="0"/>
              <w:ind w:left="177" w:right="126"/>
              <w:jc w:val="both"/>
              <w:rPr>
                <w:smallCaps w:val="0"/>
                <w:sz w:val="21"/>
              </w:rPr>
            </w:pPr>
            <w:r>
              <w:rPr>
                <w:i/>
                <w:smallCaps w:val="0"/>
                <w:sz w:val="21"/>
              </w:rPr>
              <w:t xml:space="preserve">Dans ces cours, commencés avant l’épidémie de Covid et poursuivis pendant celle-ci, l’historien médiéviste et professeur au Collège de France, Patrick Boucheron, s’interroge sur la nature et les conséquences sociales, économiques, sanitaires et politiques des crises épidémiques à la fin du Moyen Âge. Il fait un </w:t>
            </w:r>
            <w:r w:rsidR="004C026B">
              <w:rPr>
                <w:i/>
                <w:smallCaps w:val="0"/>
                <w:sz w:val="21"/>
              </w:rPr>
              <w:t>bilan</w:t>
            </w:r>
            <w:r>
              <w:rPr>
                <w:i/>
                <w:smallCaps w:val="0"/>
                <w:sz w:val="21"/>
              </w:rPr>
              <w:t xml:space="preserve"> de nos connaissances sur le sujet, bien au-delà de la seule « histoire » par les archives : résultats de fouilles archéologiques et données épidémiologiques sont analysées au même titre que les grands textes des </w:t>
            </w:r>
            <w:proofErr w:type="spellStart"/>
            <w:r>
              <w:rPr>
                <w:i/>
                <w:smallCaps w:val="0"/>
                <w:sz w:val="21"/>
              </w:rPr>
              <w:t>auteur-es</w:t>
            </w:r>
            <w:proofErr w:type="spellEnd"/>
            <w:r>
              <w:rPr>
                <w:i/>
                <w:smallCaps w:val="0"/>
                <w:sz w:val="21"/>
              </w:rPr>
              <w:t xml:space="preserve"> du temps. </w:t>
            </w:r>
          </w:p>
        </w:tc>
      </w:tr>
      <w:tr w:rsidR="00E25BA6" w14:paraId="421DCFB8" w14:textId="77777777" w:rsidTr="00E25BA6">
        <w:trPr>
          <w:trHeight w:val="1098"/>
        </w:trPr>
        <w:tc>
          <w:tcPr>
            <w:tcW w:w="7784" w:type="dxa"/>
          </w:tcPr>
          <w:p w14:paraId="11AE9F86" w14:textId="77777777" w:rsidR="00E25BA6" w:rsidRDefault="00E25BA6" w:rsidP="00E25BA6">
            <w:pPr>
              <w:pStyle w:val="Biblio"/>
              <w:spacing w:before="240"/>
              <w:jc w:val="right"/>
              <w:rPr>
                <w:i/>
                <w:smallCaps w:val="0"/>
                <w:sz w:val="21"/>
              </w:rPr>
            </w:pPr>
            <w:r>
              <w:rPr>
                <w:i/>
                <w:smallCaps w:val="0"/>
                <w:sz w:val="21"/>
              </w:rPr>
              <w:t xml:space="preserve">Ces cours, comme l’ensemble des cours prodigués au Collège de France, </w:t>
            </w:r>
            <w:r>
              <w:rPr>
                <w:i/>
                <w:smallCaps w:val="0"/>
                <w:sz w:val="21"/>
              </w:rPr>
              <w:br/>
              <w:t xml:space="preserve">sont intégralement disponibles en ligne, ici via le QR-code </w:t>
            </w:r>
            <w:r>
              <w:rPr>
                <w:i/>
                <w:smallCaps w:val="0"/>
                <w:sz w:val="21"/>
              </w:rPr>
              <w:sym w:font="Wingdings" w:char="F0E0"/>
            </w:r>
          </w:p>
        </w:tc>
        <w:tc>
          <w:tcPr>
            <w:tcW w:w="1514" w:type="dxa"/>
            <w:vAlign w:val="bottom"/>
          </w:tcPr>
          <w:p w14:paraId="732A8ADA" w14:textId="77777777" w:rsidR="00E25BA6" w:rsidRDefault="00E25BA6" w:rsidP="004C026B">
            <w:pPr>
              <w:pStyle w:val="Biblio"/>
              <w:spacing w:before="0"/>
              <w:jc w:val="both"/>
              <w:rPr>
                <w:smallCaps w:val="0"/>
                <w:noProof/>
                <w:sz w:val="21"/>
              </w:rPr>
            </w:pPr>
            <w:r>
              <w:rPr>
                <w:smallCaps w:val="0"/>
                <w:noProof/>
                <w:sz w:val="21"/>
              </w:rPr>
              <w:drawing>
                <wp:inline distT="0" distB="0" distL="0" distR="0" wp14:anchorId="6246674D" wp14:editId="41F5EA29">
                  <wp:extent cx="708124" cy="720000"/>
                  <wp:effectExtent l="0" t="0" r="3175" b="4445"/>
                  <wp:docPr id="30" name="Image 30">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a:hlinkClick r:id="rId17"/>
                          </pic:cNvPr>
                          <pic:cNvPicPr/>
                        </pic:nvPicPr>
                        <pic:blipFill rotWithShape="1">
                          <a:blip r:embed="rId18" cstate="print">
                            <a:extLst>
                              <a:ext uri="{28A0092B-C50C-407E-A947-70E740481C1C}">
                                <a14:useLocalDpi xmlns:a14="http://schemas.microsoft.com/office/drawing/2010/main" val="0"/>
                              </a:ext>
                            </a:extLst>
                          </a:blip>
                          <a:srcRect l="3872" t="3290" r="3786" b="2819"/>
                          <a:stretch/>
                        </pic:blipFill>
                        <pic:spPr bwMode="auto">
                          <a:xfrm>
                            <a:off x="0" y="0"/>
                            <a:ext cx="708124" cy="72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CB6AFDF" w14:textId="77777777" w:rsidR="004D4C35" w:rsidRDefault="004D4C35" w:rsidP="00874F11">
      <w:pPr>
        <w:pStyle w:val="Biblio"/>
        <w:rPr>
          <w:rFonts w:eastAsiaTheme="majorEastAsia"/>
        </w:rPr>
      </w:pPr>
    </w:p>
    <w:p w14:paraId="5785B250" w14:textId="77777777" w:rsidR="00A77E43" w:rsidRDefault="00A77E43" w:rsidP="00620E44">
      <w:pPr>
        <w:pStyle w:val="Titre"/>
        <w:sectPr w:rsidR="00A77E43" w:rsidSect="00A77E43">
          <w:type w:val="oddPage"/>
          <w:pgSz w:w="11906" w:h="16838"/>
          <w:pgMar w:top="964" w:right="1304" w:bottom="1134" w:left="1304" w:header="709" w:footer="709" w:gutter="0"/>
          <w:cols w:space="708"/>
          <w:docGrid w:linePitch="360"/>
        </w:sectPr>
      </w:pPr>
      <w:bookmarkStart w:id="4" w:name="_Toc185425564"/>
    </w:p>
    <w:p w14:paraId="3F1678A9" w14:textId="77777777" w:rsidR="001876DF" w:rsidRPr="00620E44" w:rsidRDefault="009D6DD9" w:rsidP="00620E44">
      <w:pPr>
        <w:pStyle w:val="Titre"/>
      </w:pPr>
      <w:r w:rsidRPr="00620E44">
        <w:lastRenderedPageBreak/>
        <w:t>Séance 2</w:t>
      </w:r>
      <w:r w:rsidRPr="00620E44">
        <w:br/>
      </w:r>
      <w:r w:rsidRPr="00620E44">
        <w:rPr>
          <w:b/>
        </w:rPr>
        <w:t>Dépouiller</w:t>
      </w:r>
      <w:r w:rsidR="004D4C35">
        <w:rPr>
          <w:b/>
        </w:rPr>
        <w:t xml:space="preserve"> et </w:t>
      </w:r>
      <w:r w:rsidRPr="00620E44">
        <w:rPr>
          <w:b/>
        </w:rPr>
        <w:t>présenter une source et la remettre en contexte</w:t>
      </w:r>
      <w:bookmarkEnd w:id="4"/>
      <w:r w:rsidRPr="00620E44">
        <w:t xml:space="preserve"> </w:t>
      </w:r>
    </w:p>
    <w:p w14:paraId="5C1FBDD0" w14:textId="77777777" w:rsidR="001876DF" w:rsidRPr="00620E44" w:rsidRDefault="001876DF" w:rsidP="00620E44">
      <w:pPr>
        <w:pStyle w:val="Titre1"/>
      </w:pPr>
      <w:r w:rsidRPr="00620E44">
        <w:t xml:space="preserve">Document 1. La seigneurie de Nicolas de Neuville </w:t>
      </w:r>
    </w:p>
    <w:p w14:paraId="48C1CD46" w14:textId="77777777" w:rsidR="00BE0D7D" w:rsidRDefault="001876DF" w:rsidP="00620E44">
      <w:r w:rsidRPr="001876DF">
        <w:t>Titre nouvel et reconnaissance faite par les habitants de la paroisse de Villabé et Coupeaux des droits</w:t>
      </w:r>
      <w:r w:rsidR="00BE0D7D">
        <w:t xml:space="preserve"> </w:t>
      </w:r>
      <w:r w:rsidRPr="001876DF">
        <w:t>qu’ils doivent à très haut et très puissant seigneur messire Nicolas de Neuville, duc de Villeroy, à cause</w:t>
      </w:r>
      <w:r w:rsidR="00BE0D7D">
        <w:t xml:space="preserve"> </w:t>
      </w:r>
      <w:r w:rsidRPr="001876DF">
        <w:t>de ses seigneuries de Villabé et Coupeaux, unies et incorporées à son duché de Villeroy.</w:t>
      </w:r>
      <w:r w:rsidR="00BE0D7D">
        <w:t xml:space="preserve"> </w:t>
      </w:r>
    </w:p>
    <w:p w14:paraId="4DECC1CF" w14:textId="77777777" w:rsidR="00BE0D7D" w:rsidRDefault="001876DF" w:rsidP="00620E44">
      <w:r w:rsidRPr="001876DF">
        <w:t>Du dimanche douzième jour du mois d’avril 1671 avant midi.</w:t>
      </w:r>
      <w:r w:rsidR="00BE0D7D">
        <w:t xml:space="preserve"> </w:t>
      </w:r>
    </w:p>
    <w:p w14:paraId="0ED3F1B4" w14:textId="77777777" w:rsidR="001876DF" w:rsidRPr="001876DF" w:rsidRDefault="001876DF" w:rsidP="00620E44">
      <w:r w:rsidRPr="001876DF">
        <w:t xml:space="preserve">Furent présents en leurs personnes S. Richard et G. </w:t>
      </w:r>
      <w:proofErr w:type="spellStart"/>
      <w:r w:rsidRPr="001876DF">
        <w:t>Bezard</w:t>
      </w:r>
      <w:proofErr w:type="spellEnd"/>
      <w:r w:rsidRPr="001876DF">
        <w:t>, marguilliers de l’église paroissiale de</w:t>
      </w:r>
      <w:r w:rsidR="00BE0D7D">
        <w:t xml:space="preserve"> </w:t>
      </w:r>
      <w:r w:rsidRPr="001876DF">
        <w:t>Villabé, E. Curé laboureur, J. de Rampillon marchand, et [suivent 29 noms], tous vignerons, E.</w:t>
      </w:r>
      <w:r w:rsidR="00BE0D7D">
        <w:t xml:space="preserve"> </w:t>
      </w:r>
      <w:proofErr w:type="spellStart"/>
      <w:r w:rsidRPr="001876DF">
        <w:t>Gimbault</w:t>
      </w:r>
      <w:proofErr w:type="spellEnd"/>
      <w:r w:rsidRPr="001876DF">
        <w:t xml:space="preserve"> berger, Renée Verrier veuve de feu G. Ruffin laboureur, et Jeanne </w:t>
      </w:r>
      <w:proofErr w:type="spellStart"/>
      <w:r w:rsidRPr="001876DF">
        <w:t>Bezard</w:t>
      </w:r>
      <w:proofErr w:type="spellEnd"/>
      <w:r w:rsidRPr="001876DF">
        <w:t xml:space="preserve"> veuve de feu T.</w:t>
      </w:r>
      <w:r w:rsidR="00BE0D7D">
        <w:t xml:space="preserve"> </w:t>
      </w:r>
      <w:r w:rsidRPr="001876DF">
        <w:t>Hebert ; tous habitants et paroissiens desdits Villabé et Coupeaux et y demeurant et faisant et</w:t>
      </w:r>
      <w:r w:rsidR="00BE0D7D">
        <w:t xml:space="preserve"> </w:t>
      </w:r>
      <w:r w:rsidRPr="001876DF">
        <w:t>représentant la plus grande et saine partie d’iceux assemblés au son de la cloche, sous le portail de la</w:t>
      </w:r>
      <w:r w:rsidR="00BE0D7D">
        <w:t xml:space="preserve"> </w:t>
      </w:r>
      <w:r w:rsidRPr="001876DF">
        <w:t>grande porte et principale entrée de l’église paroissiale de Saint-Marcel, à l’issue de la grande messe,</w:t>
      </w:r>
      <w:r w:rsidR="00BE0D7D">
        <w:t xml:space="preserve"> </w:t>
      </w:r>
      <w:r w:rsidRPr="001876DF">
        <w:t>en la manière accoutumée pour les affaires de ladite paroisse.</w:t>
      </w:r>
      <w:r w:rsidR="00BE0D7D">
        <w:t xml:space="preserve"> </w:t>
      </w:r>
      <w:r w:rsidRPr="001876DF">
        <w:t>Lesquels ont tous volontairement reconnu, confessé et avoué par les présentes, confessent, avouent et</w:t>
      </w:r>
      <w:r w:rsidR="00BE0D7D">
        <w:t xml:space="preserve"> </w:t>
      </w:r>
      <w:r w:rsidRPr="001876DF">
        <w:t>déclarent d’une commune voix comme il est, que très haut et très puissant seigneur messire N</w:t>
      </w:r>
      <w:r w:rsidR="00BE0D7D">
        <w:t xml:space="preserve">icolas </w:t>
      </w:r>
      <w:r w:rsidRPr="001876DF">
        <w:t>de</w:t>
      </w:r>
      <w:r w:rsidR="00BE0D7D">
        <w:t xml:space="preserve"> </w:t>
      </w:r>
      <w:r w:rsidRPr="001876DF">
        <w:t>Neuville, duc de Villeroy, pair et maréchal de France, chevalier des ordres du roi, chef du conseil royal</w:t>
      </w:r>
      <w:r w:rsidR="00BE0D7D">
        <w:t xml:space="preserve"> </w:t>
      </w:r>
      <w:r w:rsidRPr="001876DF">
        <w:t>ès finances, ci-devant gouverneur de la personne de sa Majesté et encore de présent, gouverneur pour</w:t>
      </w:r>
      <w:r w:rsidR="00BE0D7D">
        <w:t xml:space="preserve"> </w:t>
      </w:r>
      <w:r w:rsidRPr="001876DF">
        <w:t>le roi de la ville de Lyon et province de Lyonnais, à cause de son dit duché, a droit de moulins banaux</w:t>
      </w:r>
      <w:r w:rsidR="00BE0D7D">
        <w:t xml:space="preserve"> </w:t>
      </w:r>
      <w:r w:rsidRPr="001876DF">
        <w:t>sur la rivière d’Estampes dans toute l’étendue desdites seigneuries de Villabé et Coupeaux, laquelle</w:t>
      </w:r>
      <w:r w:rsidR="00BE0D7D">
        <w:t xml:space="preserve"> </w:t>
      </w:r>
      <w:r w:rsidRPr="001876DF">
        <w:t>banalité est de 12 boisseaux de grain un boisseau de grain, s’étend sur tous les habitants desdits lieux,</w:t>
      </w:r>
      <w:r w:rsidR="00BE0D7D">
        <w:t xml:space="preserve"> </w:t>
      </w:r>
      <w:r w:rsidRPr="001876DF">
        <w:t>lesquels sont tenus d’y moudre leur grain sous peine de confiscation des bêtes, sacs, grains, farines</w:t>
      </w:r>
      <w:r w:rsidR="00BE0D7D">
        <w:t xml:space="preserve"> </w:t>
      </w:r>
      <w:r w:rsidRPr="001876DF">
        <w:t>quand ils sont trouvés allant et venant de moudre à d’autres moulins que ceux de Villeroy et d’Ormoy,</w:t>
      </w:r>
      <w:r w:rsidR="00BE0D7D">
        <w:t xml:space="preserve"> </w:t>
      </w:r>
      <w:r w:rsidRPr="001876DF">
        <w:t>et de 75 sols d’amende.</w:t>
      </w:r>
    </w:p>
    <w:p w14:paraId="73EC2F26" w14:textId="77777777" w:rsidR="00BE0D7D" w:rsidRDefault="001876DF" w:rsidP="00620E44">
      <w:r w:rsidRPr="001876DF">
        <w:t>Et pareillement, ledit seigneur duc a droit de pressoirs banaux à vins sur tous les habitants desdites</w:t>
      </w:r>
      <w:r w:rsidR="00BE0D7D">
        <w:t xml:space="preserve"> </w:t>
      </w:r>
      <w:r w:rsidRPr="001876DF">
        <w:t>paroisses et autres qui possèdent des vignes dans l’étendue desdites seigneuries, lesquels sont tenus de</w:t>
      </w:r>
      <w:r w:rsidR="00BE0D7D">
        <w:t xml:space="preserve"> </w:t>
      </w:r>
      <w:r w:rsidRPr="001876DF">
        <w:t>faire pressurer leur vin aux pressoirs et d’en payer le droit de pressurage à raison de 5 seaux 1 seau,</w:t>
      </w:r>
      <w:r w:rsidR="00BE0D7D">
        <w:t xml:space="preserve"> </w:t>
      </w:r>
      <w:r w:rsidRPr="001876DF">
        <w:t>sous peine de confiscation des marcs, chevaux, bêtes de somme et autres choses servant à voiturer les</w:t>
      </w:r>
      <w:r w:rsidR="00BE0D7D">
        <w:t xml:space="preserve"> </w:t>
      </w:r>
      <w:proofErr w:type="spellStart"/>
      <w:r w:rsidRPr="001876DF">
        <w:t>marcs</w:t>
      </w:r>
      <w:proofErr w:type="spellEnd"/>
      <w:r w:rsidRPr="001876DF">
        <w:t xml:space="preserve"> et vins qui seront trouvés allant et venant de pressurer à d’autres pressoirs que lesdits pressoirs</w:t>
      </w:r>
      <w:r w:rsidR="00BE0D7D">
        <w:t xml:space="preserve"> </w:t>
      </w:r>
      <w:r w:rsidRPr="001876DF">
        <w:t>banaux, et de 75 sols d’amende.</w:t>
      </w:r>
      <w:r w:rsidR="00BE0D7D">
        <w:t xml:space="preserve"> </w:t>
      </w:r>
      <w:r w:rsidRPr="001876DF">
        <w:t>Comme aussi a droit de corvées sur tous lesdits habitants lesquels sont tenus de se nourrir à leurs</w:t>
      </w:r>
      <w:r w:rsidR="00BE0D7D">
        <w:t xml:space="preserve"> </w:t>
      </w:r>
      <w:r w:rsidRPr="001876DF">
        <w:t>dépens pendant qu’ils font lesdites corvées.</w:t>
      </w:r>
      <w:r w:rsidR="00BE0D7D">
        <w:t xml:space="preserve"> </w:t>
      </w:r>
      <w:r w:rsidRPr="001876DF">
        <w:t>Comme aussi a droits d’</w:t>
      </w:r>
      <w:proofErr w:type="spellStart"/>
      <w:r w:rsidRPr="001876DF">
        <w:t>étallonage</w:t>
      </w:r>
      <w:proofErr w:type="spellEnd"/>
      <w:r w:rsidRPr="001876DF">
        <w:t xml:space="preserve">, de mesure, forage, </w:t>
      </w:r>
      <w:proofErr w:type="spellStart"/>
      <w:r w:rsidRPr="001876DF">
        <w:t>persage</w:t>
      </w:r>
      <w:proofErr w:type="spellEnd"/>
      <w:r w:rsidRPr="001876DF">
        <w:t xml:space="preserve"> et rouage dans l’étendue desdites</w:t>
      </w:r>
      <w:r w:rsidR="00BE0D7D">
        <w:t xml:space="preserve"> </w:t>
      </w:r>
      <w:r w:rsidRPr="001876DF">
        <w:t xml:space="preserve">seigneuries, lequel </w:t>
      </w:r>
      <w:proofErr w:type="spellStart"/>
      <w:r w:rsidRPr="001876DF">
        <w:t>persage</w:t>
      </w:r>
      <w:proofErr w:type="spellEnd"/>
      <w:r w:rsidRPr="001876DF">
        <w:t xml:space="preserve"> est d’une pinte mesure du bailliage pour chaque </w:t>
      </w:r>
      <w:proofErr w:type="spellStart"/>
      <w:r w:rsidRPr="001876DF">
        <w:t>poinson</w:t>
      </w:r>
      <w:proofErr w:type="spellEnd"/>
      <w:r w:rsidRPr="001876DF">
        <w:t xml:space="preserve"> ou demie queue</w:t>
      </w:r>
      <w:r w:rsidR="00BE0D7D">
        <w:t xml:space="preserve"> </w:t>
      </w:r>
      <w:r w:rsidRPr="001876DF">
        <w:t>de vin qui se vend au détail. Sont obligés ceux qui vendront ledit vin au détail d’avertir le fermier dudit</w:t>
      </w:r>
      <w:r w:rsidR="00BE0D7D">
        <w:t xml:space="preserve"> </w:t>
      </w:r>
      <w:r w:rsidRPr="001876DF">
        <w:t xml:space="preserve">droit pour être perçus lesquels </w:t>
      </w:r>
      <w:proofErr w:type="spellStart"/>
      <w:r w:rsidRPr="001876DF">
        <w:t>poinsons</w:t>
      </w:r>
      <w:proofErr w:type="spellEnd"/>
      <w:r w:rsidRPr="001876DF">
        <w:t>, à peine de 75 sols d’amende. Et ledit droit de rouage est de</w:t>
      </w:r>
      <w:r w:rsidR="00BE0D7D">
        <w:t xml:space="preserve"> </w:t>
      </w:r>
      <w:r w:rsidRPr="001876DF">
        <w:t>15 deniers pour chaque charrette chargée de vin dans l’étendue desdites seigneuries pour mener et</w:t>
      </w:r>
      <w:r w:rsidR="00BE0D7D">
        <w:t xml:space="preserve"> </w:t>
      </w:r>
      <w:r w:rsidRPr="001876DF">
        <w:t>conduire ailleurs, que sont obligés de payer ceux qui enlèvent ou font enlever ledit vin avant ledit</w:t>
      </w:r>
      <w:r w:rsidR="00BE0D7D">
        <w:t xml:space="preserve"> </w:t>
      </w:r>
      <w:r w:rsidRPr="001876DF">
        <w:t>enlèvement et d’en avertir le fermier sous peine de pareille amende de 75 sols.</w:t>
      </w:r>
      <w:r w:rsidR="00BE0D7D">
        <w:t xml:space="preserve"> </w:t>
      </w:r>
      <w:r w:rsidRPr="001876DF">
        <w:t>Et est ledit seigneur duc et ses prédécesseurs seigneurs en paisible, juste et légitime possession de</w:t>
      </w:r>
      <w:r w:rsidR="00BE0D7D">
        <w:t xml:space="preserve"> </w:t>
      </w:r>
      <w:r w:rsidRPr="001876DF">
        <w:t>temps immémoriaux de tous lesdits droits, lesquels iceux habitants promettent et s’obligent tant pour</w:t>
      </w:r>
      <w:r w:rsidR="00BE0D7D">
        <w:t xml:space="preserve"> </w:t>
      </w:r>
      <w:r w:rsidRPr="001876DF">
        <w:t>eux que pour leurs successeurs de dorénavant bailler, payer et continuer audit seigneur duc.</w:t>
      </w:r>
      <w:r w:rsidR="00BE0D7D">
        <w:t xml:space="preserve"> </w:t>
      </w:r>
    </w:p>
    <w:p w14:paraId="46D9BDD0" w14:textId="77777777" w:rsidR="001876DF" w:rsidRDefault="001876DF" w:rsidP="00620E44">
      <w:r w:rsidRPr="001876DF">
        <w:t>Outre N. Barré, notaire et tabellion royal en la prévôté et châtellenie de Corbeil, ont signé E. Curé, P.</w:t>
      </w:r>
      <w:r w:rsidR="00BE0D7D">
        <w:t xml:space="preserve"> </w:t>
      </w:r>
      <w:r w:rsidRPr="001876DF">
        <w:t xml:space="preserve">et G. Texier, P. </w:t>
      </w:r>
      <w:proofErr w:type="spellStart"/>
      <w:r w:rsidRPr="001876DF">
        <w:t>Bezard</w:t>
      </w:r>
      <w:proofErr w:type="spellEnd"/>
      <w:r w:rsidRPr="001876DF">
        <w:t xml:space="preserve">, </w:t>
      </w:r>
      <w:proofErr w:type="spellStart"/>
      <w:r w:rsidRPr="001876DF">
        <w:t>Tanneret</w:t>
      </w:r>
      <w:proofErr w:type="spellEnd"/>
      <w:r w:rsidRPr="001876DF">
        <w:t xml:space="preserve">, Rampillon, </w:t>
      </w:r>
      <w:proofErr w:type="spellStart"/>
      <w:r w:rsidRPr="001876DF">
        <w:t>Pinau</w:t>
      </w:r>
      <w:proofErr w:type="spellEnd"/>
      <w:r w:rsidRPr="001876DF">
        <w:t xml:space="preserve"> et </w:t>
      </w:r>
      <w:proofErr w:type="spellStart"/>
      <w:r w:rsidRPr="001876DF">
        <w:t>Gourdet</w:t>
      </w:r>
      <w:proofErr w:type="spellEnd"/>
      <w:r w:rsidRPr="001876DF">
        <w:t>. Les autres ont déclaré ne savoir écrire</w:t>
      </w:r>
      <w:r w:rsidR="00BE0D7D">
        <w:t xml:space="preserve"> </w:t>
      </w:r>
      <w:r w:rsidRPr="001876DF">
        <w:t xml:space="preserve">ni signer. </w:t>
      </w:r>
    </w:p>
    <w:p w14:paraId="2A53BBE4" w14:textId="77777777" w:rsidR="001876DF" w:rsidRPr="00620E44" w:rsidRDefault="006D44A2" w:rsidP="002151F8">
      <w:pPr>
        <w:pStyle w:val="Citationsources"/>
      </w:pPr>
      <w:r w:rsidRPr="00620E44">
        <w:t xml:space="preserve">Source : Minutes des aveux et dénombrements pour le terrier du duché de Villeroy </w:t>
      </w:r>
      <w:r w:rsidRPr="00620E44">
        <w:br/>
        <w:t xml:space="preserve">(Archives départementales de l’Essonne, fonds notariés de Mennecy), </w:t>
      </w:r>
      <w:r w:rsidRPr="00620E44">
        <w:br/>
        <w:t xml:space="preserve">texte édité par Jean-Pierre </w:t>
      </w:r>
      <w:proofErr w:type="spellStart"/>
      <w:r w:rsidRPr="00620E44">
        <w:rPr>
          <w:smallCaps/>
        </w:rPr>
        <w:t>Jessenne</w:t>
      </w:r>
      <w:proofErr w:type="spellEnd"/>
      <w:r w:rsidRPr="00620E44">
        <w:t xml:space="preserve"> et Philippe </w:t>
      </w:r>
      <w:r w:rsidRPr="00620E44">
        <w:rPr>
          <w:smallCaps/>
        </w:rPr>
        <w:t>Minard</w:t>
      </w:r>
      <w:r w:rsidRPr="00620E44">
        <w:t xml:space="preserve"> dans </w:t>
      </w:r>
      <w:r w:rsidRPr="00620E44">
        <w:rPr>
          <w:i/>
        </w:rPr>
        <w:t>La France moderne (2). 1653-1789</w:t>
      </w:r>
      <w:r w:rsidRPr="00620E44">
        <w:t xml:space="preserve">, </w:t>
      </w:r>
      <w:r w:rsidR="009D6DD9" w:rsidRPr="00620E44">
        <w:br/>
      </w:r>
      <w:r w:rsidRPr="00620E44">
        <w:t>Vanves, Hachette, 1999, p. 47-62.</w:t>
      </w:r>
    </w:p>
    <w:p w14:paraId="695BDFCF" w14:textId="77777777" w:rsidR="00BE0D7D" w:rsidRDefault="00BE0D7D" w:rsidP="00620E44">
      <w:pPr>
        <w:pStyle w:val="Titre1"/>
      </w:pPr>
      <w:r>
        <w:lastRenderedPageBreak/>
        <w:t xml:space="preserve">Document 2. La seigneurie, structure fondamentale de l’organisation sociale </w:t>
      </w:r>
    </w:p>
    <w:p w14:paraId="04A5FB11" w14:textId="77777777" w:rsidR="00BE0D7D" w:rsidRDefault="005267EB" w:rsidP="00620E44">
      <w:r w:rsidRPr="005267EB">
        <w:t xml:space="preserve">La seigneurie* constitue l’une des structures fondamentales de la société d’Ancien Régime. Au nom de la propriété éminente qu’il détient sur les terres, le seigneur exerce une lourde tutelle sur ses tenanciers, soumis à diverses formes de contraintes et de prélèvements, dont les cens (en argent), les champarts ou terrages (en nature) et les corvées (en travail). Son pouvoir de commandement ou droit de ban se manifeste notamment par des fonctions judiciaires et par le monopole de certains services, contre paiement des banalités. Soucieux de garantir leurs prérogatives et leurs revenus, les seigneurs ont souvent voulu couper court à toute contestation en les faisant confirmer publiquement et par écrit : il fallait que les victimes se déclarent consentantes. </w:t>
      </w:r>
    </w:p>
    <w:p w14:paraId="6E9D801B" w14:textId="77777777" w:rsidR="00904E56" w:rsidRDefault="00904E56" w:rsidP="00904E56">
      <w:pPr>
        <w:pStyle w:val="Citationsources"/>
        <w:spacing w:before="120"/>
      </w:pPr>
      <w:r w:rsidRPr="00620E44">
        <w:t xml:space="preserve">Jean-Pierre </w:t>
      </w:r>
      <w:proofErr w:type="spellStart"/>
      <w:r w:rsidRPr="00620E44">
        <w:rPr>
          <w:smallCaps/>
        </w:rPr>
        <w:t>Jessenne</w:t>
      </w:r>
      <w:proofErr w:type="spellEnd"/>
      <w:r w:rsidRPr="00620E44">
        <w:t xml:space="preserve"> et Philippe </w:t>
      </w:r>
      <w:r w:rsidRPr="00620E44">
        <w:rPr>
          <w:smallCaps/>
        </w:rPr>
        <w:t>Minard</w:t>
      </w:r>
      <w:r w:rsidRPr="00620E44">
        <w:t xml:space="preserve"> dans </w:t>
      </w:r>
      <w:r w:rsidRPr="00620E44">
        <w:rPr>
          <w:i/>
        </w:rPr>
        <w:t>La France moderne (2). 1653-1789</w:t>
      </w:r>
      <w:r w:rsidRPr="00620E44">
        <w:t xml:space="preserve">, </w:t>
      </w:r>
      <w:r w:rsidRPr="00620E44">
        <w:br/>
        <w:t>Vanves, Hachette, 1999, p. 47-62</w:t>
      </w:r>
      <w:r>
        <w:t xml:space="preserve">. </w:t>
      </w:r>
    </w:p>
    <w:p w14:paraId="2B489035" w14:textId="77777777" w:rsidR="00904E56" w:rsidRDefault="00904E56" w:rsidP="00904E56">
      <w:r>
        <w:t>Une seigneurie des Temps modernes pourrait se définir comme une terre dont la possession s’accompagnait d’une délégation de puissance publique et conférait au propriétaire une dignité particulière</w:t>
      </w:r>
      <w:r w:rsidRPr="005267EB">
        <w:t>.</w:t>
      </w:r>
      <w:r>
        <w:t xml:space="preserve"> Elle présentait des caractères nouveaux. La féodalité comme institution de droit public traduisant le morcellement de la souveraineté s’effondrait. Une féodalité existait toujours ; mais elle se réduisait à une institution de droit privé qui encadrait la propriété immobilière. La théorie du double domaine adoptée définitivement, le fief, jadis salaire du service militaire et gage de fidélité personnelle, se transformait en une propriété héréditaire, une source de profits, un objet de commerce. </w:t>
      </w:r>
      <w:r>
        <w:rPr>
          <w:rFonts w:ascii="Times New Roman" w:hAnsi="Times New Roman" w:cs="Times New Roman"/>
        </w:rPr>
        <w:t>[</w:t>
      </w:r>
      <w:r>
        <w:t>...</w:t>
      </w:r>
      <w:r>
        <w:rPr>
          <w:rFonts w:ascii="Times New Roman" w:hAnsi="Times New Roman" w:cs="Times New Roman"/>
        </w:rPr>
        <w:t>]</w:t>
      </w:r>
      <w:r>
        <w:t xml:space="preserve"> La féodalité demeurait comme une hiérarchie des terres et des personnes, un régime juridique encadrant la propriété. </w:t>
      </w:r>
      <w:r>
        <w:rPr>
          <w:rFonts w:ascii="Times New Roman" w:hAnsi="Times New Roman" w:cs="Times New Roman"/>
        </w:rPr>
        <w:t>[</w:t>
      </w:r>
      <w:r>
        <w:t>...</w:t>
      </w:r>
      <w:r>
        <w:rPr>
          <w:rFonts w:ascii="Times New Roman" w:hAnsi="Times New Roman" w:cs="Times New Roman"/>
        </w:rPr>
        <w:t>]</w:t>
      </w:r>
      <w:r>
        <w:t xml:space="preserve"> </w:t>
      </w:r>
      <w:r>
        <w:rPr>
          <w:rFonts w:ascii="Times New Roman" w:hAnsi="Times New Roman" w:cs="Times New Roman"/>
        </w:rPr>
        <w:t>[</w:t>
      </w:r>
      <w:r>
        <w:t>Par ailleurs</w:t>
      </w:r>
      <w:r>
        <w:rPr>
          <w:rFonts w:ascii="Times New Roman" w:hAnsi="Times New Roman" w:cs="Times New Roman"/>
        </w:rPr>
        <w:t>]</w:t>
      </w:r>
      <w:r>
        <w:t xml:space="preserve">, la justice devenait une caractéristique essentielle de la seigneurie. Ce qui distinguait les seigneuries des autres propriétés foncières, c’était la part de puissance publique dont disposait le propriétaire. </w:t>
      </w:r>
      <w:r>
        <w:rPr>
          <w:rFonts w:ascii="Times New Roman" w:hAnsi="Times New Roman" w:cs="Times New Roman"/>
        </w:rPr>
        <w:t>[</w:t>
      </w:r>
      <w:r>
        <w:t>...</w:t>
      </w:r>
      <w:r>
        <w:rPr>
          <w:rFonts w:ascii="Times New Roman" w:hAnsi="Times New Roman" w:cs="Times New Roman"/>
        </w:rPr>
        <w:t>]</w:t>
      </w:r>
      <w:r>
        <w:t xml:space="preserve"> Le seigneur rendait la justice et exerçait une police sur ses terres, sous le contrôle royal. Il entrait dans le nouvel ordre qui s’établissait dans le royaume et servait d’intermédiaire entre la population et l’État. Au dernier échelon, après les bailliages et les sénéchaussées, les seigneuries devenaient des cellules administratives et judiciaires. </w:t>
      </w:r>
    </w:p>
    <w:p w14:paraId="19D11999" w14:textId="77777777" w:rsidR="00904E56" w:rsidRDefault="00904E56" w:rsidP="00904E56">
      <w:pPr>
        <w:pStyle w:val="Citationsources"/>
        <w:spacing w:before="120"/>
      </w:pPr>
      <w:r>
        <w:rPr>
          <w:sz w:val="21"/>
          <w:szCs w:val="21"/>
        </w:rPr>
        <w:t xml:space="preserve">Jean </w:t>
      </w:r>
      <w:r w:rsidRPr="008505ED">
        <w:rPr>
          <w:smallCaps/>
          <w:sz w:val="21"/>
          <w:szCs w:val="21"/>
        </w:rPr>
        <w:t>Gallet</w:t>
      </w:r>
      <w:r>
        <w:rPr>
          <w:sz w:val="21"/>
          <w:szCs w:val="21"/>
        </w:rPr>
        <w:t xml:space="preserve">, </w:t>
      </w:r>
      <w:r w:rsidRPr="00C651D6">
        <w:rPr>
          <w:sz w:val="21"/>
          <w:szCs w:val="21"/>
        </w:rPr>
        <w:t xml:space="preserve">« Seigneurie », dans Lucien </w:t>
      </w:r>
      <w:proofErr w:type="spellStart"/>
      <w:r w:rsidRPr="00C651D6">
        <w:rPr>
          <w:smallCaps/>
          <w:sz w:val="21"/>
          <w:szCs w:val="21"/>
        </w:rPr>
        <w:t>Bély</w:t>
      </w:r>
      <w:proofErr w:type="spellEnd"/>
      <w:r w:rsidRPr="00C651D6">
        <w:rPr>
          <w:sz w:val="21"/>
          <w:szCs w:val="21"/>
        </w:rPr>
        <w:t xml:space="preserve"> (dir.), </w:t>
      </w:r>
      <w:r w:rsidRPr="00C651D6">
        <w:rPr>
          <w:i/>
          <w:sz w:val="21"/>
          <w:szCs w:val="21"/>
        </w:rPr>
        <w:t>Dictionnaire de la France d’Ancien régime</w:t>
      </w:r>
      <w:r w:rsidRPr="00C651D6">
        <w:rPr>
          <w:sz w:val="21"/>
          <w:szCs w:val="21"/>
        </w:rPr>
        <w:t xml:space="preserve">, </w:t>
      </w:r>
      <w:r>
        <w:rPr>
          <w:sz w:val="21"/>
          <w:szCs w:val="21"/>
        </w:rPr>
        <w:br/>
        <w:t xml:space="preserve">    </w:t>
      </w:r>
      <w:r w:rsidRPr="00C651D6">
        <w:rPr>
          <w:sz w:val="21"/>
          <w:szCs w:val="21"/>
        </w:rPr>
        <w:t xml:space="preserve">Paris, </w:t>
      </w:r>
      <w:r>
        <w:rPr>
          <w:sz w:val="21"/>
          <w:szCs w:val="21"/>
        </w:rPr>
        <w:t>Presses universitaires</w:t>
      </w:r>
      <w:r w:rsidRPr="00C651D6">
        <w:rPr>
          <w:sz w:val="21"/>
          <w:szCs w:val="21"/>
        </w:rPr>
        <w:t xml:space="preserve"> de France, 1996, p.</w:t>
      </w:r>
      <w:r>
        <w:rPr>
          <w:sz w:val="21"/>
          <w:szCs w:val="21"/>
        </w:rPr>
        <w:t xml:space="preserve"> 1150. </w:t>
      </w:r>
    </w:p>
    <w:p w14:paraId="05CFBBFB" w14:textId="77777777" w:rsidR="00BE0D7D" w:rsidRDefault="00BE0D7D" w:rsidP="00620E44">
      <w:pPr>
        <w:pStyle w:val="Titre1"/>
      </w:pPr>
      <w:r>
        <w:t>Document 3. Nicolas de Neuville</w:t>
      </w:r>
      <w:r w:rsidR="009D6DD9">
        <w:t>, duc de Villeroy</w:t>
      </w:r>
      <w:r>
        <w:t xml:space="preserve"> </w:t>
      </w:r>
      <w:r w:rsidR="009D6DD9">
        <w:t>(1598-1685)</w:t>
      </w:r>
    </w:p>
    <w:p w14:paraId="0D6B44E8" w14:textId="77777777" w:rsidR="00BE0D7D" w:rsidRDefault="00CE16B7" w:rsidP="00620E44">
      <w:r>
        <w:t>Issu d’une famille d’Île</w:t>
      </w:r>
      <w:r w:rsidR="005267EB">
        <w:t>-</w:t>
      </w:r>
      <w:r>
        <w:t>de</w:t>
      </w:r>
      <w:r w:rsidR="005267EB">
        <w:t>-</w:t>
      </w:r>
      <w:r>
        <w:t xml:space="preserve">France déjà illustre, mais sans ancienneté (anoblie en 1507 par charge de secrétaire du Roi), petit-fils du précédent, ce Nicolas était fils de Charles de </w:t>
      </w:r>
      <w:proofErr w:type="spellStart"/>
      <w:r>
        <w:t>Neufville</w:t>
      </w:r>
      <w:proofErr w:type="spellEnd"/>
      <w:r>
        <w:t xml:space="preserve"> (1560-1642), marquis d’Alincourt, seigneur de Villeroy, prévôt – ligueur – de Paris rallié à Henri IV, gouverneur du Lyonnais, et de Jacqueline de Harlay, sa seconde femme, fille de Nicolas de Harlay, baron de Sancy, colonel des Suisses. Enfant d’honneur, il fut élevé auprès de Louis XIII et reçu gouverneur de Lyon, en survivance de son père dès 1615. Il servit en Italie, </w:t>
      </w:r>
      <w:r>
        <w:rPr>
          <w:rFonts w:ascii="Times New Roman" w:hAnsi="Times New Roman" w:cs="Times New Roman"/>
        </w:rPr>
        <w:t>[</w:t>
      </w:r>
      <w:r>
        <w:t>...</w:t>
      </w:r>
      <w:r>
        <w:rPr>
          <w:rFonts w:ascii="Times New Roman" w:hAnsi="Times New Roman" w:cs="Times New Roman"/>
        </w:rPr>
        <w:t>]</w:t>
      </w:r>
      <w:r>
        <w:t xml:space="preserve">, puis en France </w:t>
      </w:r>
      <w:r>
        <w:rPr>
          <w:rFonts w:ascii="Times New Roman" w:hAnsi="Times New Roman" w:cs="Times New Roman"/>
        </w:rPr>
        <w:t>[</w:t>
      </w:r>
      <w:r>
        <w:t>...</w:t>
      </w:r>
      <w:r>
        <w:rPr>
          <w:rFonts w:ascii="Times New Roman" w:hAnsi="Times New Roman" w:cs="Times New Roman"/>
        </w:rPr>
        <w:t>]</w:t>
      </w:r>
      <w:r>
        <w:t xml:space="preserve">. Le cardinal Mazarin, chargé de diriger l’éducation du jeune Roi, lui fit donner (mars 1646) les titre et fonctions de son gouverneur ; puis la dignité de maréchal (20 oct.), </w:t>
      </w:r>
      <w:r>
        <w:rPr>
          <w:rFonts w:ascii="Times New Roman" w:hAnsi="Times New Roman" w:cs="Times New Roman"/>
        </w:rPr>
        <w:t>[</w:t>
      </w:r>
      <w:r>
        <w:t>...</w:t>
      </w:r>
      <w:r>
        <w:rPr>
          <w:rFonts w:ascii="Times New Roman" w:hAnsi="Times New Roman" w:cs="Times New Roman"/>
        </w:rPr>
        <w:t>]</w:t>
      </w:r>
      <w:r>
        <w:t xml:space="preserve">. Il ne fut pas un bon gouverneur. </w:t>
      </w:r>
      <w:r>
        <w:rPr>
          <w:rFonts w:ascii="Times New Roman" w:hAnsi="Times New Roman" w:cs="Times New Roman"/>
        </w:rPr>
        <w:t>[</w:t>
      </w:r>
      <w:r>
        <w:t>...</w:t>
      </w:r>
      <w:r>
        <w:rPr>
          <w:rFonts w:ascii="Times New Roman" w:hAnsi="Times New Roman" w:cs="Times New Roman"/>
        </w:rPr>
        <w:t>]</w:t>
      </w:r>
      <w:r>
        <w:t xml:space="preserve"> Cela n’empêcha point M. de Villeroy d’être couvert d’honneurs. Conseiller d’honneur au Parlement en 1651, faisant fonction de grand maître de France au sacre de son élève (1654), chef du conseil royal des finances en 1661 après la disgrâce de Fouquet et la suppression de la surintendance des finances, il fut chevalier du Saint-Esprit le 31 décembre de la même année.</w:t>
      </w:r>
      <w:r w:rsidR="00694D24">
        <w:t xml:space="preserve"> Il mourut à Paris, presque nonagénaire, doyen des maréchaux de France. Il avait bénéficié jusqu’à sa mort des appointements de gouverneur du Roi et « il tirait de la Cour 114 000 francs, outre les appointements de son gouvernement </w:t>
      </w:r>
      <w:r w:rsidR="00694D24">
        <w:rPr>
          <w:rFonts w:ascii="Times New Roman" w:hAnsi="Times New Roman" w:cs="Times New Roman"/>
        </w:rPr>
        <w:t>[</w:t>
      </w:r>
      <w:r w:rsidR="00694D24">
        <w:t>de Lyon et du Lyonnais</w:t>
      </w:r>
      <w:r w:rsidR="00694D24">
        <w:rPr>
          <w:rFonts w:ascii="Times New Roman" w:hAnsi="Times New Roman" w:cs="Times New Roman"/>
        </w:rPr>
        <w:t>]</w:t>
      </w:r>
      <w:r w:rsidR="00694D24">
        <w:t xml:space="preserve"> » (Dangeau). Le roi l’avait fait duc et pair par lettres de septembre 1651 ; et Villeroy avait été reçu en cette qualité au Parlement le 15 déc. 1663. Il avait épousé en 1617 Madeleine de Créqui, fille de Charles de Créqui, maréchal de France. </w:t>
      </w:r>
      <w:r w:rsidR="00694D24">
        <w:rPr>
          <w:rFonts w:ascii="Times New Roman" w:hAnsi="Times New Roman" w:cs="Times New Roman"/>
        </w:rPr>
        <w:t>[</w:t>
      </w:r>
      <w:r w:rsidR="00694D24">
        <w:t>...</w:t>
      </w:r>
      <w:r w:rsidR="00694D24">
        <w:rPr>
          <w:rFonts w:ascii="Times New Roman" w:hAnsi="Times New Roman" w:cs="Times New Roman"/>
        </w:rPr>
        <w:t>]</w:t>
      </w:r>
      <w:r w:rsidR="00694D24">
        <w:t xml:space="preserve"> </w:t>
      </w:r>
    </w:p>
    <w:p w14:paraId="673F3F03" w14:textId="77777777" w:rsidR="00694D24" w:rsidRPr="00694D24" w:rsidRDefault="00694D24" w:rsidP="00694D24">
      <w:pPr>
        <w:pStyle w:val="Citationsources"/>
      </w:pPr>
      <w:r>
        <w:t xml:space="preserve">François </w:t>
      </w:r>
      <w:proofErr w:type="spellStart"/>
      <w:r w:rsidRPr="00694D24">
        <w:rPr>
          <w:smallCaps/>
        </w:rPr>
        <w:t>Bluche</w:t>
      </w:r>
      <w:proofErr w:type="spellEnd"/>
      <w:r>
        <w:t xml:space="preserve">, « Villeroy », dans </w:t>
      </w:r>
      <w:r>
        <w:rPr>
          <w:i/>
        </w:rPr>
        <w:t>Dictionnaire du Grand Siècle</w:t>
      </w:r>
      <w:r>
        <w:t xml:space="preserve">, Paris, Fayard, 1990, p. 1601. </w:t>
      </w:r>
    </w:p>
    <w:p w14:paraId="006141EA" w14:textId="77777777" w:rsidR="00551061" w:rsidRDefault="00551061" w:rsidP="00620E44">
      <w:pPr>
        <w:pStyle w:val="Titre1"/>
      </w:pPr>
      <w:r>
        <w:br w:type="page"/>
      </w:r>
    </w:p>
    <w:p w14:paraId="2E2A7019" w14:textId="77777777" w:rsidR="00BE0D7D" w:rsidRDefault="0000002D" w:rsidP="00620E44">
      <w:pPr>
        <w:pStyle w:val="Titre1"/>
      </w:pPr>
      <w:r>
        <w:lastRenderedPageBreak/>
        <w:sym w:font="Wingdings" w:char="F03A"/>
      </w:r>
      <w:r>
        <w:t xml:space="preserve"> </w:t>
      </w:r>
      <w:r w:rsidR="00BE0D7D">
        <w:t xml:space="preserve">Outils numériques </w:t>
      </w:r>
    </w:p>
    <w:tbl>
      <w:tblPr>
        <w:tblStyle w:val="Grilledutableau"/>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701"/>
      </w:tblGrid>
      <w:tr w:rsidR="00BE0D7D" w14:paraId="2CFA40E5" w14:textId="77777777" w:rsidTr="00F81765">
        <w:tc>
          <w:tcPr>
            <w:tcW w:w="7655" w:type="dxa"/>
          </w:tcPr>
          <w:p w14:paraId="2D1B2A81" w14:textId="77777777" w:rsidR="00BE0D7D" w:rsidRPr="00551061" w:rsidRDefault="00551061" w:rsidP="0069039E">
            <w:pPr>
              <w:pStyle w:val="Sansinterligne"/>
              <w:spacing w:before="60" w:after="60" w:line="276" w:lineRule="auto"/>
              <w:rPr>
                <w:i/>
                <w:sz w:val="23"/>
                <w:szCs w:val="23"/>
                <w:u w:val="single"/>
              </w:rPr>
            </w:pPr>
            <w:r w:rsidRPr="00551061">
              <w:rPr>
                <w:sz w:val="23"/>
                <w:szCs w:val="23"/>
                <w:u w:val="single"/>
              </w:rPr>
              <w:t>Le CNRTL : d</w:t>
            </w:r>
            <w:r w:rsidR="00BE0D7D" w:rsidRPr="00551061">
              <w:rPr>
                <w:sz w:val="23"/>
                <w:szCs w:val="23"/>
                <w:u w:val="single"/>
              </w:rPr>
              <w:t xml:space="preserve">éfinir des termes à l’aide d’un dictionnaire de référence </w:t>
            </w:r>
            <w:r w:rsidR="00BE0D7D" w:rsidRPr="00551061">
              <w:rPr>
                <w:i/>
                <w:sz w:val="23"/>
                <w:szCs w:val="23"/>
                <w:u w:val="single"/>
              </w:rPr>
              <w:t xml:space="preserve"> </w:t>
            </w:r>
          </w:p>
        </w:tc>
        <w:tc>
          <w:tcPr>
            <w:tcW w:w="1701" w:type="dxa"/>
            <w:vMerge w:val="restart"/>
            <w:vAlign w:val="center"/>
          </w:tcPr>
          <w:p w14:paraId="063A5A4D" w14:textId="77777777" w:rsidR="00F81765" w:rsidRPr="00F81765" w:rsidRDefault="00F81765" w:rsidP="00F81765">
            <w:pPr>
              <w:pStyle w:val="Sansinterligne"/>
              <w:spacing w:after="60"/>
              <w:jc w:val="right"/>
              <w:rPr>
                <w:noProof/>
              </w:rPr>
            </w:pPr>
            <w:r w:rsidRPr="00F81765">
              <w:rPr>
                <w:i/>
              </w:rPr>
              <w:t>C’est accessible en ligne</w:t>
            </w:r>
            <w:r w:rsidRPr="00F81765">
              <w:rPr>
                <w:noProof/>
              </w:rPr>
              <w:t xml:space="preserve"> </w:t>
            </w:r>
            <w:r w:rsidRPr="00F81765">
              <w:rPr>
                <w:i/>
                <w:noProof/>
              </w:rPr>
              <w:t>gratuitement</w:t>
            </w:r>
            <w:r>
              <w:rPr>
                <w:i/>
                <w:noProof/>
              </w:rPr>
              <w:t xml:space="preserve"> </w:t>
            </w:r>
            <w:r>
              <w:rPr>
                <w:noProof/>
              </w:rPr>
              <w:sym w:font="Wingdings" w:char="F0E2"/>
            </w:r>
            <w:r w:rsidRPr="00F81765">
              <w:rPr>
                <w:noProof/>
              </w:rPr>
              <w:t xml:space="preserve"> </w:t>
            </w:r>
          </w:p>
          <w:p w14:paraId="07A701BC" w14:textId="77777777" w:rsidR="00BE0D7D" w:rsidRPr="009D6DD9" w:rsidRDefault="00F81765" w:rsidP="00F81765">
            <w:pPr>
              <w:pStyle w:val="Sansinterligne"/>
              <w:jc w:val="right"/>
              <w:rPr>
                <w:highlight w:val="yellow"/>
              </w:rPr>
            </w:pPr>
            <w:r>
              <w:rPr>
                <w:noProof/>
              </w:rPr>
              <w:drawing>
                <wp:inline distT="0" distB="0" distL="0" distR="0" wp14:anchorId="12250409" wp14:editId="31187848">
                  <wp:extent cx="797003" cy="792000"/>
                  <wp:effectExtent l="0" t="0" r="3175" b="0"/>
                  <wp:docPr id="19" name="Image 19">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a:hlinkClick r:id="rId19"/>
                          </pic:cNvPr>
                          <pic:cNvPicPr/>
                        </pic:nvPicPr>
                        <pic:blipFill rotWithShape="1">
                          <a:blip r:embed="rId20" cstate="print">
                            <a:extLst>
                              <a:ext uri="{28A0092B-C50C-407E-A947-70E740481C1C}">
                                <a14:useLocalDpi xmlns:a14="http://schemas.microsoft.com/office/drawing/2010/main" val="0"/>
                              </a:ext>
                            </a:extLst>
                          </a:blip>
                          <a:srcRect l="4780" t="4589" r="3820" b="4586"/>
                          <a:stretch/>
                        </pic:blipFill>
                        <pic:spPr bwMode="auto">
                          <a:xfrm>
                            <a:off x="0" y="0"/>
                            <a:ext cx="797003" cy="792000"/>
                          </a:xfrm>
                          <a:prstGeom prst="rect">
                            <a:avLst/>
                          </a:prstGeom>
                          <a:ln>
                            <a:noFill/>
                          </a:ln>
                          <a:extLst>
                            <a:ext uri="{53640926-AAD7-44D8-BBD7-CCE9431645EC}">
                              <a14:shadowObscured xmlns:a14="http://schemas.microsoft.com/office/drawing/2010/main"/>
                            </a:ext>
                          </a:extLst>
                        </pic:spPr>
                      </pic:pic>
                    </a:graphicData>
                  </a:graphic>
                </wp:inline>
              </w:drawing>
            </w:r>
          </w:p>
        </w:tc>
      </w:tr>
      <w:tr w:rsidR="00BE0D7D" w:rsidRPr="009D6DD9" w14:paraId="4B22569E" w14:textId="77777777" w:rsidTr="00F81765">
        <w:tc>
          <w:tcPr>
            <w:tcW w:w="7655" w:type="dxa"/>
          </w:tcPr>
          <w:p w14:paraId="1798627E" w14:textId="77777777" w:rsidR="00BE0D7D" w:rsidRPr="0069039E" w:rsidRDefault="009D6DD9" w:rsidP="0069039E">
            <w:pPr>
              <w:pStyle w:val="Sansinterligne"/>
              <w:spacing w:line="276" w:lineRule="auto"/>
              <w:ind w:left="177"/>
              <w:jc w:val="both"/>
              <w:rPr>
                <w:sz w:val="21"/>
              </w:rPr>
            </w:pPr>
            <w:r w:rsidRPr="0069039E">
              <w:rPr>
                <w:sz w:val="21"/>
              </w:rPr>
              <w:t xml:space="preserve">Le Centre National de Ressources Textuelles et Lexicales (CNRTL) propose un ensemble de dictionnaires, anciens et modernes. Il permet une approche fine des mots et de leur évolution à travers le temps, avec des définitions </w:t>
            </w:r>
            <w:r w:rsidR="0069039E">
              <w:rPr>
                <w:sz w:val="21"/>
              </w:rPr>
              <w:t>complètes</w:t>
            </w:r>
            <w:r w:rsidRPr="0069039E">
              <w:rPr>
                <w:sz w:val="21"/>
              </w:rPr>
              <w:t xml:space="preserve">. Pour l’époque moderne, on pense à utiliser le dictionnaire de l’Académie (Furetière 1690), qui fait référence. Cette ressource est intégralement en ligne et le moteur de recherche est simple d’utilisation. </w:t>
            </w:r>
          </w:p>
        </w:tc>
        <w:tc>
          <w:tcPr>
            <w:tcW w:w="1701" w:type="dxa"/>
            <w:vMerge/>
          </w:tcPr>
          <w:p w14:paraId="4C073252" w14:textId="77777777" w:rsidR="00BE0D7D" w:rsidRPr="009D6DD9" w:rsidRDefault="00BE0D7D" w:rsidP="0069039E">
            <w:pPr>
              <w:pStyle w:val="Sansinterligne"/>
            </w:pPr>
          </w:p>
        </w:tc>
      </w:tr>
    </w:tbl>
    <w:p w14:paraId="7F61DBA3" w14:textId="77777777" w:rsidR="001876DF" w:rsidRPr="001876DF" w:rsidRDefault="0000002D" w:rsidP="00620E44">
      <w:pPr>
        <w:pStyle w:val="Titre1"/>
      </w:pPr>
      <w:r>
        <w:sym w:font="Wingdings" w:char="F026"/>
      </w:r>
      <w:r>
        <w:t xml:space="preserve"> </w:t>
      </w:r>
      <w:r w:rsidR="001876DF" w:rsidRPr="001876DF">
        <w:t>Bibliographie sélective</w:t>
      </w:r>
      <w:r w:rsidR="00023CD7">
        <w:t xml:space="preserve"> </w:t>
      </w:r>
    </w:p>
    <w:p w14:paraId="68340029" w14:textId="77777777" w:rsidR="00F33D96" w:rsidRPr="00C651D6" w:rsidRDefault="00F33D96" w:rsidP="00E256A4">
      <w:pPr>
        <w:pStyle w:val="Sansinterligne"/>
        <w:spacing w:before="120" w:after="120" w:line="276" w:lineRule="auto"/>
        <w:rPr>
          <w:sz w:val="21"/>
          <w:szCs w:val="21"/>
        </w:rPr>
      </w:pPr>
      <w:r w:rsidRPr="00C651D6">
        <w:rPr>
          <w:smallCaps/>
          <w:sz w:val="21"/>
          <w:szCs w:val="21"/>
        </w:rPr>
        <w:t>Antoine</w:t>
      </w:r>
      <w:r w:rsidRPr="00C651D6">
        <w:rPr>
          <w:sz w:val="21"/>
          <w:szCs w:val="21"/>
        </w:rPr>
        <w:t xml:space="preserve">, Annie, « La seigneurie en France à l’époque moderne », dans Michel </w:t>
      </w:r>
      <w:r w:rsidRPr="00C651D6">
        <w:rPr>
          <w:smallCaps/>
          <w:sz w:val="21"/>
          <w:szCs w:val="21"/>
        </w:rPr>
        <w:t>Figeac</w:t>
      </w:r>
      <w:r w:rsidRPr="00C651D6">
        <w:rPr>
          <w:sz w:val="21"/>
          <w:szCs w:val="21"/>
        </w:rPr>
        <w:t xml:space="preserve"> </w:t>
      </w:r>
      <w:r>
        <w:rPr>
          <w:sz w:val="21"/>
          <w:szCs w:val="21"/>
        </w:rPr>
        <w:br/>
        <w:t xml:space="preserve">    </w:t>
      </w:r>
      <w:r w:rsidRPr="00C651D6">
        <w:rPr>
          <w:sz w:val="21"/>
          <w:szCs w:val="21"/>
        </w:rPr>
        <w:t xml:space="preserve">et Jaroslaw </w:t>
      </w:r>
      <w:proofErr w:type="spellStart"/>
      <w:r w:rsidRPr="00C651D6">
        <w:rPr>
          <w:smallCaps/>
          <w:sz w:val="21"/>
          <w:szCs w:val="21"/>
        </w:rPr>
        <w:t>Dumanowski</w:t>
      </w:r>
      <w:proofErr w:type="spellEnd"/>
      <w:r w:rsidRPr="00C651D6">
        <w:rPr>
          <w:sz w:val="21"/>
          <w:szCs w:val="21"/>
        </w:rPr>
        <w:t xml:space="preserve"> (dir.), </w:t>
      </w:r>
      <w:r w:rsidRPr="00C651D6">
        <w:rPr>
          <w:i/>
          <w:sz w:val="21"/>
          <w:szCs w:val="21"/>
        </w:rPr>
        <w:t xml:space="preserve">Noblesse </w:t>
      </w:r>
      <w:proofErr w:type="spellStart"/>
      <w:r w:rsidRPr="00C651D6">
        <w:rPr>
          <w:i/>
          <w:sz w:val="21"/>
          <w:szCs w:val="21"/>
        </w:rPr>
        <w:t>françaie</w:t>
      </w:r>
      <w:proofErr w:type="spellEnd"/>
      <w:r w:rsidRPr="00C651D6">
        <w:rPr>
          <w:i/>
          <w:sz w:val="21"/>
          <w:szCs w:val="21"/>
        </w:rPr>
        <w:t xml:space="preserve"> et noblesse polonaise. Mémoire, identité, culture, </w:t>
      </w:r>
      <w:proofErr w:type="spellStart"/>
      <w:r w:rsidRPr="00C651D6">
        <w:rPr>
          <w:i/>
          <w:smallCaps/>
          <w:sz w:val="21"/>
          <w:szCs w:val="21"/>
        </w:rPr>
        <w:t>xvi</w:t>
      </w:r>
      <w:r w:rsidRPr="00C651D6">
        <w:rPr>
          <w:i/>
          <w:sz w:val="21"/>
          <w:szCs w:val="21"/>
          <w:vertAlign w:val="superscript"/>
        </w:rPr>
        <w:t>e</w:t>
      </w:r>
      <w:proofErr w:type="spellEnd"/>
      <w:r w:rsidRPr="00C651D6">
        <w:rPr>
          <w:i/>
          <w:sz w:val="21"/>
          <w:szCs w:val="21"/>
        </w:rPr>
        <w:t xml:space="preserve"> – </w:t>
      </w:r>
      <w:proofErr w:type="spellStart"/>
      <w:r w:rsidRPr="00C651D6">
        <w:rPr>
          <w:i/>
          <w:smallCaps/>
          <w:sz w:val="21"/>
          <w:szCs w:val="21"/>
        </w:rPr>
        <w:t>xx</w:t>
      </w:r>
      <w:r w:rsidRPr="00C651D6">
        <w:rPr>
          <w:i/>
          <w:sz w:val="21"/>
          <w:szCs w:val="21"/>
          <w:vertAlign w:val="superscript"/>
        </w:rPr>
        <w:t>e</w:t>
      </w:r>
      <w:proofErr w:type="spellEnd"/>
      <w:r w:rsidRPr="00C651D6">
        <w:rPr>
          <w:i/>
          <w:sz w:val="21"/>
          <w:szCs w:val="21"/>
        </w:rPr>
        <w:t xml:space="preserve"> siècles</w:t>
      </w:r>
      <w:r w:rsidRPr="00C651D6">
        <w:rPr>
          <w:sz w:val="21"/>
          <w:szCs w:val="21"/>
        </w:rPr>
        <w:t xml:space="preserve">, </w:t>
      </w:r>
      <w:r>
        <w:rPr>
          <w:sz w:val="21"/>
          <w:szCs w:val="21"/>
        </w:rPr>
        <w:br/>
        <w:t xml:space="preserve">    </w:t>
      </w:r>
      <w:r w:rsidRPr="00C651D6">
        <w:rPr>
          <w:sz w:val="21"/>
          <w:szCs w:val="21"/>
        </w:rPr>
        <w:t xml:space="preserve">Pessac, Maison des Sciences de l’Homme d’Aquitaine, 2006, p. 207-225. </w:t>
      </w:r>
    </w:p>
    <w:p w14:paraId="2DF72027" w14:textId="77777777" w:rsidR="00F33D96" w:rsidRPr="00C651D6" w:rsidRDefault="00F33D96" w:rsidP="00E256A4">
      <w:pPr>
        <w:pStyle w:val="Sansinterligne"/>
        <w:spacing w:before="120" w:after="120" w:line="276" w:lineRule="auto"/>
        <w:rPr>
          <w:sz w:val="21"/>
          <w:szCs w:val="21"/>
        </w:rPr>
      </w:pPr>
      <w:r w:rsidRPr="00C651D6">
        <w:rPr>
          <w:smallCaps/>
          <w:sz w:val="21"/>
          <w:szCs w:val="21"/>
        </w:rPr>
        <w:t>Antoine</w:t>
      </w:r>
      <w:r w:rsidRPr="00C651D6">
        <w:rPr>
          <w:sz w:val="21"/>
          <w:szCs w:val="21"/>
        </w:rPr>
        <w:t xml:space="preserve">, Annie, </w:t>
      </w:r>
      <w:proofErr w:type="spellStart"/>
      <w:r w:rsidRPr="00C651D6">
        <w:rPr>
          <w:smallCaps/>
          <w:sz w:val="21"/>
          <w:szCs w:val="21"/>
        </w:rPr>
        <w:t>Brumont</w:t>
      </w:r>
      <w:proofErr w:type="spellEnd"/>
      <w:r w:rsidRPr="00C651D6">
        <w:rPr>
          <w:sz w:val="21"/>
          <w:szCs w:val="21"/>
        </w:rPr>
        <w:t xml:space="preserve">, Francis, « Chapitre XI. Les cadres de la société rurale », </w:t>
      </w:r>
      <w:r>
        <w:rPr>
          <w:sz w:val="21"/>
          <w:szCs w:val="21"/>
        </w:rPr>
        <w:br/>
        <w:t xml:space="preserve">    </w:t>
      </w:r>
      <w:r w:rsidRPr="00C651D6">
        <w:rPr>
          <w:sz w:val="21"/>
          <w:szCs w:val="21"/>
        </w:rPr>
        <w:t xml:space="preserve">dans Annie </w:t>
      </w:r>
      <w:r w:rsidRPr="00C651D6">
        <w:rPr>
          <w:smallCaps/>
          <w:sz w:val="21"/>
          <w:szCs w:val="21"/>
        </w:rPr>
        <w:t>Antoine</w:t>
      </w:r>
      <w:r w:rsidRPr="00C651D6">
        <w:rPr>
          <w:sz w:val="21"/>
          <w:szCs w:val="21"/>
        </w:rPr>
        <w:t xml:space="preserve"> et Cédric </w:t>
      </w:r>
      <w:r w:rsidRPr="00C651D6">
        <w:rPr>
          <w:smallCaps/>
          <w:sz w:val="21"/>
          <w:szCs w:val="21"/>
        </w:rPr>
        <w:t>Michon</w:t>
      </w:r>
      <w:r w:rsidRPr="00C651D6">
        <w:rPr>
          <w:sz w:val="21"/>
          <w:szCs w:val="21"/>
        </w:rPr>
        <w:t xml:space="preserve"> (dir.), </w:t>
      </w:r>
      <w:r w:rsidRPr="00C651D6">
        <w:rPr>
          <w:i/>
          <w:sz w:val="21"/>
          <w:szCs w:val="21"/>
        </w:rPr>
        <w:t xml:space="preserve">Les sociétés au </w:t>
      </w:r>
      <w:proofErr w:type="spellStart"/>
      <w:r w:rsidRPr="00C651D6">
        <w:rPr>
          <w:i/>
          <w:smallCaps/>
          <w:sz w:val="21"/>
          <w:szCs w:val="21"/>
        </w:rPr>
        <w:t>xvii</w:t>
      </w:r>
      <w:r w:rsidRPr="00C651D6">
        <w:rPr>
          <w:i/>
          <w:sz w:val="21"/>
          <w:szCs w:val="21"/>
          <w:vertAlign w:val="superscript"/>
        </w:rPr>
        <w:t>e</w:t>
      </w:r>
      <w:proofErr w:type="spellEnd"/>
      <w:r w:rsidRPr="00C651D6">
        <w:rPr>
          <w:i/>
          <w:sz w:val="21"/>
          <w:szCs w:val="21"/>
        </w:rPr>
        <w:t xml:space="preserve"> siècle : Angleterre, Espagne, France</w:t>
      </w:r>
      <w:r w:rsidRPr="00C651D6">
        <w:rPr>
          <w:sz w:val="21"/>
          <w:szCs w:val="21"/>
        </w:rPr>
        <w:t xml:space="preserve">, </w:t>
      </w:r>
      <w:r>
        <w:rPr>
          <w:sz w:val="21"/>
          <w:szCs w:val="21"/>
        </w:rPr>
        <w:br/>
        <w:t xml:space="preserve">    </w:t>
      </w:r>
      <w:r w:rsidRPr="00C651D6">
        <w:rPr>
          <w:sz w:val="21"/>
          <w:szCs w:val="21"/>
        </w:rPr>
        <w:t xml:space="preserve">Rennes, </w:t>
      </w:r>
      <w:r>
        <w:rPr>
          <w:sz w:val="21"/>
          <w:szCs w:val="21"/>
        </w:rPr>
        <w:t>Presses universitaires</w:t>
      </w:r>
      <w:r w:rsidRPr="00C651D6">
        <w:rPr>
          <w:sz w:val="21"/>
          <w:szCs w:val="21"/>
        </w:rPr>
        <w:t xml:space="preserve"> </w:t>
      </w:r>
      <w:r w:rsidRPr="008505ED">
        <w:rPr>
          <w:color w:val="000000" w:themeColor="text1"/>
          <w:sz w:val="21"/>
          <w:szCs w:val="21"/>
        </w:rPr>
        <w:t>de Rennes, 2006, p. 267-286, [</w:t>
      </w:r>
      <w:hyperlink r:id="rId21" w:history="1">
        <w:r w:rsidRPr="008505ED">
          <w:rPr>
            <w:rStyle w:val="Lienhypertexte"/>
            <w:color w:val="000000" w:themeColor="text1"/>
            <w:sz w:val="21"/>
            <w:szCs w:val="21"/>
          </w:rPr>
          <w:t>En ligne</w:t>
        </w:r>
      </w:hyperlink>
      <w:r w:rsidRPr="008505ED">
        <w:rPr>
          <w:color w:val="000000" w:themeColor="text1"/>
          <w:sz w:val="21"/>
          <w:szCs w:val="21"/>
        </w:rPr>
        <w:t xml:space="preserve">]. </w:t>
      </w:r>
    </w:p>
    <w:p w14:paraId="7C994A49" w14:textId="77777777" w:rsidR="00F33D96" w:rsidRPr="00C651D6" w:rsidRDefault="00F33D96" w:rsidP="00E256A4">
      <w:pPr>
        <w:pStyle w:val="Sansinterligne"/>
        <w:spacing w:before="120" w:after="120" w:line="276" w:lineRule="auto"/>
        <w:rPr>
          <w:sz w:val="21"/>
          <w:szCs w:val="21"/>
        </w:rPr>
      </w:pPr>
      <w:r>
        <w:rPr>
          <w:smallCaps/>
          <w:sz w:val="21"/>
          <w:szCs w:val="21"/>
        </w:rPr>
        <w:t>**</w:t>
      </w:r>
      <w:r w:rsidRPr="008505ED">
        <w:rPr>
          <w:smallCaps/>
          <w:sz w:val="21"/>
          <w:szCs w:val="21"/>
        </w:rPr>
        <w:t>Gallet</w:t>
      </w:r>
      <w:r>
        <w:rPr>
          <w:sz w:val="21"/>
          <w:szCs w:val="21"/>
        </w:rPr>
        <w:t xml:space="preserve">, Jean, </w:t>
      </w:r>
      <w:r w:rsidRPr="00C651D6">
        <w:rPr>
          <w:sz w:val="21"/>
          <w:szCs w:val="21"/>
        </w:rPr>
        <w:t xml:space="preserve">« Seigneurie », dans Lucien </w:t>
      </w:r>
      <w:proofErr w:type="spellStart"/>
      <w:r w:rsidRPr="00C651D6">
        <w:rPr>
          <w:smallCaps/>
          <w:sz w:val="21"/>
          <w:szCs w:val="21"/>
        </w:rPr>
        <w:t>Bély</w:t>
      </w:r>
      <w:proofErr w:type="spellEnd"/>
      <w:r w:rsidRPr="00C651D6">
        <w:rPr>
          <w:sz w:val="21"/>
          <w:szCs w:val="21"/>
        </w:rPr>
        <w:t xml:space="preserve"> (dir.), </w:t>
      </w:r>
      <w:r w:rsidRPr="00C651D6">
        <w:rPr>
          <w:i/>
          <w:sz w:val="21"/>
          <w:szCs w:val="21"/>
        </w:rPr>
        <w:t>Dictionnaire de la France d’Ancien régime</w:t>
      </w:r>
      <w:r w:rsidRPr="00C651D6">
        <w:rPr>
          <w:sz w:val="21"/>
          <w:szCs w:val="21"/>
        </w:rPr>
        <w:t xml:space="preserve">, </w:t>
      </w:r>
      <w:r>
        <w:rPr>
          <w:sz w:val="21"/>
          <w:szCs w:val="21"/>
        </w:rPr>
        <w:br/>
        <w:t xml:space="preserve">    </w:t>
      </w:r>
      <w:r w:rsidRPr="00C651D6">
        <w:rPr>
          <w:sz w:val="21"/>
          <w:szCs w:val="21"/>
        </w:rPr>
        <w:t xml:space="preserve">Paris, </w:t>
      </w:r>
      <w:r>
        <w:rPr>
          <w:sz w:val="21"/>
          <w:szCs w:val="21"/>
        </w:rPr>
        <w:t>Presses universitaires</w:t>
      </w:r>
      <w:r w:rsidRPr="00C651D6">
        <w:rPr>
          <w:sz w:val="21"/>
          <w:szCs w:val="21"/>
        </w:rPr>
        <w:t xml:space="preserve"> de France, 1996, p.</w:t>
      </w:r>
      <w:r>
        <w:rPr>
          <w:sz w:val="21"/>
          <w:szCs w:val="21"/>
        </w:rPr>
        <w:t xml:space="preserve"> 1150-1154</w:t>
      </w:r>
      <w:r w:rsidRPr="00C651D6">
        <w:rPr>
          <w:sz w:val="21"/>
          <w:szCs w:val="21"/>
        </w:rPr>
        <w:t xml:space="preserve">. </w:t>
      </w:r>
    </w:p>
    <w:p w14:paraId="1FC3D5B9" w14:textId="77777777" w:rsidR="001876DF" w:rsidRDefault="0000002D" w:rsidP="00620E44">
      <w:pPr>
        <w:pStyle w:val="Titre1"/>
      </w:pPr>
      <w:r>
        <w:sym w:font="Wingdings" w:char="F025"/>
      </w:r>
      <w:r w:rsidR="001876DF" w:rsidRPr="001876DF">
        <w:t xml:space="preserve"> L’actualité de la recherche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4D4C35" w14:paraId="6932009F" w14:textId="77777777" w:rsidTr="007A0B39">
        <w:tc>
          <w:tcPr>
            <w:tcW w:w="9062" w:type="dxa"/>
          </w:tcPr>
          <w:p w14:paraId="36EACFC8" w14:textId="77777777" w:rsidR="004D4C35" w:rsidRDefault="004D4C35" w:rsidP="00E256A4">
            <w:pPr>
              <w:spacing w:before="60" w:after="120"/>
              <w:ind w:firstLine="0"/>
            </w:pPr>
            <w:r w:rsidRPr="004D4C35">
              <w:rPr>
                <w:szCs w:val="20"/>
              </w:rPr>
              <w:t xml:space="preserve">Élie </w:t>
            </w:r>
            <w:r w:rsidRPr="004D4C35">
              <w:rPr>
                <w:smallCaps/>
                <w:szCs w:val="20"/>
              </w:rPr>
              <w:t>Haddad</w:t>
            </w:r>
            <w:r w:rsidRPr="004D4C35">
              <w:rPr>
                <w:szCs w:val="20"/>
              </w:rPr>
              <w:t xml:space="preserve">, </w:t>
            </w:r>
            <w:r w:rsidRPr="004D4C35">
              <w:rPr>
                <w:i/>
                <w:szCs w:val="20"/>
              </w:rPr>
              <w:t xml:space="preserve">D’une noblesse à l’autre. France, </w:t>
            </w:r>
            <w:proofErr w:type="spellStart"/>
            <w:r w:rsidRPr="004D4C35">
              <w:rPr>
                <w:i/>
                <w:smallCaps/>
                <w:szCs w:val="20"/>
              </w:rPr>
              <w:t>xvi</w:t>
            </w:r>
            <w:r w:rsidRPr="004D4C35">
              <w:rPr>
                <w:i/>
                <w:szCs w:val="20"/>
                <w:vertAlign w:val="superscript"/>
              </w:rPr>
              <w:t>e</w:t>
            </w:r>
            <w:proofErr w:type="spellEnd"/>
            <w:r w:rsidRPr="004D4C35">
              <w:rPr>
                <w:i/>
                <w:szCs w:val="20"/>
              </w:rPr>
              <w:t xml:space="preserve"> – </w:t>
            </w:r>
            <w:proofErr w:type="spellStart"/>
            <w:r w:rsidRPr="004D4C35">
              <w:rPr>
                <w:i/>
                <w:smallCaps/>
                <w:szCs w:val="20"/>
              </w:rPr>
              <w:t>xviii</w:t>
            </w:r>
            <w:r w:rsidRPr="004D4C35">
              <w:rPr>
                <w:i/>
                <w:szCs w:val="20"/>
                <w:vertAlign w:val="superscript"/>
              </w:rPr>
              <w:t>e</w:t>
            </w:r>
            <w:proofErr w:type="spellEnd"/>
            <w:r w:rsidRPr="004D4C35">
              <w:rPr>
                <w:i/>
                <w:szCs w:val="20"/>
              </w:rPr>
              <w:t xml:space="preserve"> siècles</w:t>
            </w:r>
            <w:r w:rsidRPr="004D4C35">
              <w:rPr>
                <w:szCs w:val="20"/>
              </w:rPr>
              <w:t xml:space="preserve">, Seyssel, Champ Vallon, 2024. </w:t>
            </w:r>
          </w:p>
        </w:tc>
      </w:tr>
      <w:tr w:rsidR="004D4C35" w14:paraId="7109BDB1" w14:textId="77777777" w:rsidTr="004D4C35">
        <w:tc>
          <w:tcPr>
            <w:tcW w:w="9062" w:type="dxa"/>
          </w:tcPr>
          <w:p w14:paraId="3E4ED337" w14:textId="77777777" w:rsidR="004D4C35" w:rsidRPr="004D4C35" w:rsidRDefault="004D4C35" w:rsidP="004D4C35">
            <w:pPr>
              <w:pStyle w:val="Biblio"/>
              <w:spacing w:before="0"/>
              <w:ind w:left="177"/>
              <w:jc w:val="both"/>
              <w:rPr>
                <w:i/>
                <w:smallCaps w:val="0"/>
              </w:rPr>
            </w:pPr>
            <w:r w:rsidRPr="004D4C35">
              <w:rPr>
                <w:i/>
                <w:smallCaps w:val="0"/>
                <w:sz w:val="21"/>
              </w:rPr>
              <w:t>Dans ce livre paru en octobre 2024, Élie Haddad, chercheur au CNRS, apporte un éclairage nouveau sur ce qu’est la n</w:t>
            </w:r>
            <w:r>
              <w:rPr>
                <w:i/>
                <w:smallCaps w:val="0"/>
                <w:sz w:val="21"/>
              </w:rPr>
              <w:t xml:space="preserve">oblesse en France à l’époque moderne : pour lui, la position sociale et la définition de la noblesse changent au fil de la période, ce qui veut dire qu’être « noble » au </w:t>
            </w:r>
            <w:proofErr w:type="spellStart"/>
            <w:r>
              <w:rPr>
                <w:i/>
                <w:sz w:val="21"/>
              </w:rPr>
              <w:t>xvi</w:t>
            </w:r>
            <w:r>
              <w:rPr>
                <w:i/>
                <w:smallCaps w:val="0"/>
                <w:sz w:val="21"/>
              </w:rPr>
              <w:t>e</w:t>
            </w:r>
            <w:proofErr w:type="spellEnd"/>
            <w:r>
              <w:rPr>
                <w:i/>
                <w:smallCaps w:val="0"/>
                <w:sz w:val="21"/>
              </w:rPr>
              <w:t xml:space="preserve"> siècle ne signifie pas la même chose qu’être « noble » au </w:t>
            </w:r>
            <w:proofErr w:type="spellStart"/>
            <w:r>
              <w:rPr>
                <w:i/>
                <w:sz w:val="21"/>
              </w:rPr>
              <w:t>xviii</w:t>
            </w:r>
            <w:r>
              <w:rPr>
                <w:i/>
                <w:smallCaps w:val="0"/>
                <w:sz w:val="21"/>
              </w:rPr>
              <w:t>e</w:t>
            </w:r>
            <w:proofErr w:type="spellEnd"/>
            <w:r>
              <w:rPr>
                <w:i/>
                <w:smallCaps w:val="0"/>
                <w:sz w:val="21"/>
              </w:rPr>
              <w:t xml:space="preserve"> siècle. Cette évolution est liée à la définition juridique de la noblesse (on parle désormais de noblesse de robe et de noblesse d’épée par exemple, ce qui n’est pas le cas au début du </w:t>
            </w:r>
            <w:proofErr w:type="spellStart"/>
            <w:r>
              <w:rPr>
                <w:i/>
                <w:sz w:val="21"/>
              </w:rPr>
              <w:t>xvi</w:t>
            </w:r>
            <w:r>
              <w:rPr>
                <w:i/>
                <w:smallCaps w:val="0"/>
                <w:sz w:val="21"/>
              </w:rPr>
              <w:t>e</w:t>
            </w:r>
            <w:proofErr w:type="spellEnd"/>
            <w:r>
              <w:rPr>
                <w:i/>
                <w:smallCaps w:val="0"/>
                <w:sz w:val="21"/>
              </w:rPr>
              <w:t xml:space="preserve"> siècle), au statut social des nobles dans les seigneuries (qui deviennent des territoires de production de richesses davantage que des fiefs féodaux destinés à fournir des soldats) et aux rapports que les nobles ont entre eux. Ainsi, ce livre permet d’historiciser – de remettre un peu d’histoire ! – un phénomène qui est parfois encore vécu comme fixiste. </w:t>
            </w:r>
          </w:p>
        </w:tc>
      </w:tr>
    </w:tbl>
    <w:p w14:paraId="1DBF31E7" w14:textId="77777777" w:rsidR="001876DF" w:rsidRDefault="001876DF" w:rsidP="00620E44">
      <w:pPr>
        <w:spacing w:before="60" w:after="60"/>
      </w:pPr>
    </w:p>
    <w:p w14:paraId="4AEA3579" w14:textId="77777777" w:rsidR="00C651D6" w:rsidRDefault="00C651D6" w:rsidP="00620E44"/>
    <w:p w14:paraId="16123289" w14:textId="77777777" w:rsidR="00C651D6" w:rsidRDefault="00C651D6" w:rsidP="00620E44">
      <w:pPr>
        <w:sectPr w:rsidR="00C651D6" w:rsidSect="00A77E43">
          <w:type w:val="oddPage"/>
          <w:pgSz w:w="11906" w:h="16838"/>
          <w:pgMar w:top="964" w:right="1304" w:bottom="1134" w:left="1304" w:header="709" w:footer="709" w:gutter="0"/>
          <w:cols w:space="708"/>
          <w:docGrid w:linePitch="360"/>
        </w:sectPr>
      </w:pPr>
    </w:p>
    <w:p w14:paraId="5329617F" w14:textId="77777777" w:rsidR="00A77E43" w:rsidRDefault="00A77E43" w:rsidP="00620E44">
      <w:pPr>
        <w:pStyle w:val="Titre"/>
        <w:sectPr w:rsidR="00A77E43" w:rsidSect="0043459C">
          <w:type w:val="evenPage"/>
          <w:pgSz w:w="11906" w:h="16838"/>
          <w:pgMar w:top="964" w:right="1304" w:bottom="990" w:left="1304" w:header="709" w:footer="709" w:gutter="0"/>
          <w:cols w:space="708"/>
          <w:docGrid w:linePitch="360"/>
        </w:sectPr>
      </w:pPr>
      <w:bookmarkStart w:id="5" w:name="_Toc185425565"/>
    </w:p>
    <w:p w14:paraId="758E3A06" w14:textId="77777777" w:rsidR="00C651D6" w:rsidRPr="009D6DD9" w:rsidRDefault="00C651D6" w:rsidP="00620E44">
      <w:pPr>
        <w:pStyle w:val="Titre"/>
      </w:pPr>
      <w:r w:rsidRPr="009D6DD9">
        <w:lastRenderedPageBreak/>
        <w:t xml:space="preserve">Séance </w:t>
      </w:r>
      <w:r>
        <w:t>3</w:t>
      </w:r>
      <w:r w:rsidR="005202A6">
        <w:t>-1</w:t>
      </w:r>
      <w:r w:rsidRPr="009D6DD9">
        <w:br/>
      </w:r>
      <w:r w:rsidRPr="00620E44">
        <w:rPr>
          <w:b/>
        </w:rPr>
        <w:t>Écrire une introduction de commentaire</w:t>
      </w:r>
      <w:bookmarkEnd w:id="5"/>
      <w:r>
        <w:t xml:space="preserve"> </w:t>
      </w:r>
      <w:r w:rsidRPr="009D6DD9">
        <w:t xml:space="preserve"> </w:t>
      </w:r>
    </w:p>
    <w:p w14:paraId="6C54DFCE" w14:textId="77777777" w:rsidR="00C651D6" w:rsidRPr="001876DF" w:rsidRDefault="00C651D6" w:rsidP="00DC1559">
      <w:pPr>
        <w:pStyle w:val="Titre1"/>
        <w:spacing w:before="240"/>
      </w:pPr>
      <w:r w:rsidRPr="001876DF">
        <w:t xml:space="preserve">Document 1. </w:t>
      </w:r>
      <w:r w:rsidR="00C718E2">
        <w:t>Séduction et violence : le rapt d’une jeune femme</w:t>
      </w:r>
      <w:r>
        <w:t xml:space="preserve"> au </w:t>
      </w:r>
      <w:proofErr w:type="spellStart"/>
      <w:r>
        <w:rPr>
          <w:smallCaps/>
        </w:rPr>
        <w:t>xvii</w:t>
      </w:r>
      <w:r w:rsidRPr="00C651D6">
        <w:rPr>
          <w:vertAlign w:val="superscript"/>
        </w:rPr>
        <w:t>e</w:t>
      </w:r>
      <w:proofErr w:type="spellEnd"/>
      <w:r>
        <w:t xml:space="preserve"> siècle</w:t>
      </w:r>
      <w:r w:rsidRPr="001876DF">
        <w:t xml:space="preserve"> </w:t>
      </w:r>
    </w:p>
    <w:p w14:paraId="0F1AC3C5" w14:textId="77777777" w:rsidR="00C651D6" w:rsidRDefault="005A68D7" w:rsidP="00620E44">
      <w:r>
        <w:t>M</w:t>
      </w:r>
      <w:r w:rsidRPr="00D43208">
        <w:rPr>
          <w:vertAlign w:val="superscript"/>
        </w:rPr>
        <w:t>e</w:t>
      </w:r>
      <w:r>
        <w:t xml:space="preserve"> Bataille, pour Marie </w:t>
      </w:r>
      <w:proofErr w:type="spellStart"/>
      <w:r>
        <w:t>Larchevesque</w:t>
      </w:r>
      <w:proofErr w:type="spellEnd"/>
      <w:r>
        <w:t xml:space="preserve"> demanderesse en requête d’intervention, voulant parler, fut interrompu par Me </w:t>
      </w:r>
      <w:proofErr w:type="spellStart"/>
      <w:r>
        <w:t>Pousset</w:t>
      </w:r>
      <w:proofErr w:type="spellEnd"/>
      <w:r>
        <w:t xml:space="preserve">, qui soutint que Marie </w:t>
      </w:r>
      <w:proofErr w:type="spellStart"/>
      <w:r>
        <w:t>Larchevesque</w:t>
      </w:r>
      <w:proofErr w:type="spellEnd"/>
      <w:r>
        <w:t xml:space="preserve"> étant femme légitime du sieur </w:t>
      </w:r>
      <w:proofErr w:type="spellStart"/>
      <w:r>
        <w:t>Danfernel</w:t>
      </w:r>
      <w:proofErr w:type="spellEnd"/>
      <w:r>
        <w:t>, elle ne devait point être reçue à l’accuser, pour complaire à sa mère et suivre sa passion, et que toute audience lui devait être déniée, à moins que son intervention ne tendît à la confirmation du mariage. Sur quoi</w:t>
      </w:r>
      <w:r w:rsidR="00E147EA">
        <w:t xml:space="preserve"> Monsieur l’avoc</w:t>
      </w:r>
      <w:r w:rsidR="00E167D5">
        <w:t>a</w:t>
      </w:r>
      <w:r w:rsidR="00E147EA">
        <w:t>t général Bignon ayant remontré qu’il était juste d’ouïr la fille comme la principale partie, et la cour ayant ordonné qu’elle plaiderait ses moyens d’intervention, M</w:t>
      </w:r>
      <w:r w:rsidR="00E147EA" w:rsidRPr="00D43208">
        <w:rPr>
          <w:vertAlign w:val="superscript"/>
        </w:rPr>
        <w:t>e</w:t>
      </w:r>
      <w:r w:rsidR="00E147EA">
        <w:t xml:space="preserve"> Bataille reprenant la parole dit que Marie </w:t>
      </w:r>
      <w:proofErr w:type="spellStart"/>
      <w:r w:rsidR="00E147EA">
        <w:t>Larchevesque</w:t>
      </w:r>
      <w:proofErr w:type="spellEnd"/>
      <w:r w:rsidR="00E147EA">
        <w:t xml:space="preserve"> est la plus intéressée en cette cause, et presque la seule qui le soit. L’intérêt de sa mère est un intérêt d’amitié et d’affection, qui peut être momentané et trouver bientôt sa fin ; mais l’intérêt </w:t>
      </w:r>
      <w:r w:rsidR="00D43208">
        <w:t xml:space="preserve">de la fille est un intérêt réel, personnel, permanent, et qui doit autant durer que sa vie, qui ne lui sera qu’un regret perpétuel et une mort continuelle, si elle est réduite à ce malheur que d’avoir pour mari celui qui n’a eu autre dessein ni amitié pour elle que de lui ravir son honneur et son bien, et qui au lieu des caresses et des soumissions extraordinaires que les autres hommes témoignent et rendent à celles qu’ils aiment véritablement, et avec dessein de parvenir à un légitime mariage, n’a eu pour elle que des rudesses, de la contrainte et de la violence, afin de l’obliger à consentir à un mariage qu’elle n’abhorrait pas moins que la mort. </w:t>
      </w:r>
      <w:r w:rsidR="00D43208">
        <w:rPr>
          <w:rFonts w:ascii="Times New Roman" w:hAnsi="Times New Roman" w:cs="Times New Roman"/>
        </w:rPr>
        <w:t>[</w:t>
      </w:r>
      <w:r w:rsidR="00D43208">
        <w:t>...</w:t>
      </w:r>
      <w:r w:rsidR="00D43208">
        <w:rPr>
          <w:rFonts w:ascii="Times New Roman" w:hAnsi="Times New Roman" w:cs="Times New Roman"/>
        </w:rPr>
        <w:t>]</w:t>
      </w:r>
      <w:r w:rsidR="00D43208">
        <w:t xml:space="preserve"> </w:t>
      </w:r>
      <w:proofErr w:type="spellStart"/>
      <w:r w:rsidR="00D43208">
        <w:t>Danfernel</w:t>
      </w:r>
      <w:proofErr w:type="spellEnd"/>
      <w:r w:rsidR="00D43208">
        <w:t xml:space="preserve"> qualifie demoiselle Marie </w:t>
      </w:r>
      <w:proofErr w:type="spellStart"/>
      <w:r w:rsidR="00D43208">
        <w:t>Larchevesque</w:t>
      </w:r>
      <w:proofErr w:type="spellEnd"/>
      <w:r w:rsidR="00D43208">
        <w:t xml:space="preserve"> de ce doux nom d’amitié et de concorde, comme s’il l’avait légitimement épousée ; mais au contraire elle nie constamment et véritablement d’avoir jamais prêté aucun consentement à ce prétendu mariage. Tout ce qu’elle a fait a été par l’impression, la force et contrainte dont </w:t>
      </w:r>
      <w:proofErr w:type="spellStart"/>
      <w:r w:rsidR="00D43208">
        <w:t>Danfernel</w:t>
      </w:r>
      <w:proofErr w:type="spellEnd"/>
      <w:r w:rsidR="00D43208">
        <w:t xml:space="preserve"> et ses complices ont usé envers elle. Les circonstances du fait le montrent assez. Elle a été ravie et enlevée de la maison de sa mère, et conduite en celle de l’oncle de </w:t>
      </w:r>
      <w:proofErr w:type="spellStart"/>
      <w:r w:rsidR="00D43208">
        <w:t>Danfernel</w:t>
      </w:r>
      <w:proofErr w:type="spellEnd"/>
      <w:r w:rsidR="00D43208">
        <w:t xml:space="preserve">. De nuit et clandestinement, on a fait venir un homme inconnu se disant prêtre, qui a administré non un sacrement, mais commis un sacrilège. Elle n’a jamais habité avec </w:t>
      </w:r>
      <w:proofErr w:type="spellStart"/>
      <w:r w:rsidR="00D43208">
        <w:t>Danfernel</w:t>
      </w:r>
      <w:proofErr w:type="spellEnd"/>
      <w:r w:rsidR="00D43208">
        <w:t xml:space="preserve">, mais au contraire a toujours résisté, attendant et épiant l’occasion de se remettre en liberté et de retourner en la maison de sa mère ; ce qu’ayant enfin obtenu, elle supplie la cour de l’y maintenir, de lui conserver sa liberté et de lui vouloir faire justice et réparation, telle que mérite l’injure atroce qu’elle a soufferte de l’insolence de </w:t>
      </w:r>
      <w:proofErr w:type="spellStart"/>
      <w:r w:rsidR="00D43208">
        <w:t>Danfernel</w:t>
      </w:r>
      <w:proofErr w:type="spellEnd"/>
      <w:r w:rsidR="00D43208">
        <w:t xml:space="preserve"> : à quoi il conclut. </w:t>
      </w:r>
    </w:p>
    <w:p w14:paraId="10D51FA1" w14:textId="77777777" w:rsidR="00C651D6" w:rsidRDefault="00C427E8" w:rsidP="00DC1559">
      <w:pPr>
        <w:pStyle w:val="Citationsources"/>
        <w:ind w:right="1076"/>
      </w:pPr>
      <w:r>
        <w:rPr>
          <w:noProof/>
        </w:rPr>
        <w:drawing>
          <wp:anchor distT="0" distB="0" distL="114300" distR="114300" simplePos="0" relativeHeight="251661312" behindDoc="1" locked="0" layoutInCell="1" allowOverlap="1" wp14:anchorId="12CB1FAD" wp14:editId="158AE832">
            <wp:simplePos x="0" y="0"/>
            <wp:positionH relativeFrom="column">
              <wp:posOffset>5323699</wp:posOffset>
            </wp:positionH>
            <wp:positionV relativeFrom="paragraph">
              <wp:posOffset>27305</wp:posOffset>
            </wp:positionV>
            <wp:extent cx="542925" cy="539750"/>
            <wp:effectExtent l="0" t="0" r="3175" b="6350"/>
            <wp:wrapNone/>
            <wp:docPr id="17" name="Image 17">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a:hlinkClick r:id="rId22"/>
                    </pic:cNvPr>
                    <pic:cNvPicPr/>
                  </pic:nvPicPr>
                  <pic:blipFill rotWithShape="1">
                    <a:blip r:embed="rId23" cstate="print">
                      <a:extLst>
                        <a:ext uri="{28A0092B-C50C-407E-A947-70E740481C1C}">
                          <a14:useLocalDpi xmlns:a14="http://schemas.microsoft.com/office/drawing/2010/main" val="0"/>
                        </a:ext>
                      </a:extLst>
                    </a:blip>
                    <a:srcRect l="3633" t="4207" r="4008" b="4009"/>
                    <a:stretch/>
                  </pic:blipFill>
                  <pic:spPr bwMode="auto">
                    <a:xfrm>
                      <a:off x="0" y="0"/>
                      <a:ext cx="542925" cy="539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8E2" w:rsidRPr="006D44A2">
        <w:t>Source</w:t>
      </w:r>
      <w:r w:rsidR="00C718E2">
        <w:t xml:space="preserve"> : Pierre </w:t>
      </w:r>
      <w:r w:rsidR="00C718E2" w:rsidRPr="00CC4ADE">
        <w:rPr>
          <w:smallCaps/>
        </w:rPr>
        <w:t>Bardet</w:t>
      </w:r>
      <w:r w:rsidR="00C718E2">
        <w:t xml:space="preserve">, </w:t>
      </w:r>
      <w:r w:rsidR="00C718E2" w:rsidRPr="00C718E2">
        <w:rPr>
          <w:i/>
        </w:rPr>
        <w:t>Recueil d’arrêts du Parlement de Paris (1612-1642)</w:t>
      </w:r>
      <w:r w:rsidR="00C718E2">
        <w:t xml:space="preserve">, </w:t>
      </w:r>
      <w:r w:rsidR="002151F8">
        <w:br/>
      </w:r>
      <w:r w:rsidR="00C718E2">
        <w:t xml:space="preserve">Avignon, Pierre-Joseph </w:t>
      </w:r>
      <w:proofErr w:type="spellStart"/>
      <w:r w:rsidR="00C718E2">
        <w:t>Roberty</w:t>
      </w:r>
      <w:proofErr w:type="spellEnd"/>
      <w:r w:rsidR="00C718E2">
        <w:t>, 1773, t. 2, chap. VI, p. 15 (modernisé par S. Steinberg)</w:t>
      </w:r>
      <w:r w:rsidR="00B410D3">
        <w:t>.</w:t>
      </w:r>
      <w:r w:rsidR="00DC1559">
        <w:br/>
        <w:t>La source intégrale est disponible sur Gallica </w:t>
      </w:r>
      <w:r w:rsidR="00DC1559">
        <w:sym w:font="Wingdings" w:char="F0E0"/>
      </w:r>
    </w:p>
    <w:p w14:paraId="5B2B2CC4" w14:textId="77777777" w:rsidR="00CC4ADE" w:rsidRPr="001876DF" w:rsidRDefault="00CC4ADE" w:rsidP="00620E44">
      <w:pPr>
        <w:pStyle w:val="Titre1"/>
      </w:pPr>
      <w:r w:rsidRPr="001876DF">
        <w:t xml:space="preserve">Document </w:t>
      </w:r>
      <w:r>
        <w:t>2</w:t>
      </w:r>
      <w:r w:rsidRPr="001876DF">
        <w:t xml:space="preserve">. </w:t>
      </w:r>
      <w:r w:rsidR="00DD32FA">
        <w:t>« Le récit d’un rapt banal »</w:t>
      </w:r>
    </w:p>
    <w:p w14:paraId="22614DC5" w14:textId="77777777" w:rsidR="00DC1559" w:rsidRDefault="00DD32FA" w:rsidP="0043459C">
      <w:r>
        <w:t xml:space="preserve">Le 23 novembre 1630, Marie </w:t>
      </w:r>
      <w:proofErr w:type="spellStart"/>
      <w:r>
        <w:t>Larchevesque</w:t>
      </w:r>
      <w:proofErr w:type="spellEnd"/>
      <w:r>
        <w:t xml:space="preserve">, jeune fille d’environ dix-sept ans, se rend dans les faubourgs de sa ville natale, Rouen, où l’attend Jean </w:t>
      </w:r>
      <w:proofErr w:type="spellStart"/>
      <w:r>
        <w:t>Danfernel</w:t>
      </w:r>
      <w:proofErr w:type="spellEnd"/>
      <w:r>
        <w:t xml:space="preserve">, écuyer, fils du baron de Pont-Bérenger, qui la </w:t>
      </w:r>
      <w:proofErr w:type="spellStart"/>
      <w:r>
        <w:t>poursuit</w:t>
      </w:r>
      <w:proofErr w:type="spellEnd"/>
      <w:r>
        <w:t xml:space="preserve"> de ses assiduités depuis quelques temps. </w:t>
      </w:r>
      <w:r w:rsidR="00DC1559">
        <w:t xml:space="preserve">Celui-ci, avec l’aide de deux gentilshommes et de quatre ou cinq valets, la fait monter de force dans un carrosse. Elle est alors conduite dans la maison d’un des oncles de </w:t>
      </w:r>
      <w:proofErr w:type="spellStart"/>
      <w:r w:rsidR="00DC1559">
        <w:t>Danfernel</w:t>
      </w:r>
      <w:proofErr w:type="spellEnd"/>
      <w:r w:rsidR="00DC1559">
        <w:t xml:space="preserve"> où le mariage est célébré. Aussitôt connu l’enlèvement de sa fille, Charlotte </w:t>
      </w:r>
      <w:proofErr w:type="spellStart"/>
      <w:r w:rsidR="00DC1559">
        <w:t>Posson</w:t>
      </w:r>
      <w:proofErr w:type="spellEnd"/>
      <w:r w:rsidR="00DC1559">
        <w:t xml:space="preserve">, veuve de son état, porte plainte au parlement de Rouen contre le séducteur et l’accuse de rapt. Au mois de mars suivant, </w:t>
      </w:r>
      <w:proofErr w:type="spellStart"/>
      <w:r w:rsidR="00DC1559">
        <w:t>Danfernel</w:t>
      </w:r>
      <w:proofErr w:type="spellEnd"/>
      <w:r w:rsidR="00DC1559">
        <w:t xml:space="preserve">, ayant pris connaissance de la plainte, fait ramener Marie </w:t>
      </w:r>
      <w:proofErr w:type="spellStart"/>
      <w:r w:rsidR="00DC1559">
        <w:t>Larchevesque</w:t>
      </w:r>
      <w:proofErr w:type="spellEnd"/>
      <w:r w:rsidR="00DC1559">
        <w:t xml:space="preserve"> chez sa mère et, par l’intermédiaire de connaissances communes, convainc cette dernière de signer une approbation de mariage et de « s’</w:t>
      </w:r>
      <w:proofErr w:type="spellStart"/>
      <w:r w:rsidR="00DC1559">
        <w:t>accomoder</w:t>
      </w:r>
      <w:proofErr w:type="spellEnd"/>
      <w:r w:rsidR="00DC1559">
        <w:t xml:space="preserve"> ». Mais se ravisant quelques temps plus tard, Charlotte </w:t>
      </w:r>
      <w:proofErr w:type="spellStart"/>
      <w:r w:rsidR="00DC1559">
        <w:t>Posson</w:t>
      </w:r>
      <w:proofErr w:type="spellEnd"/>
      <w:r w:rsidR="00DC1559">
        <w:t xml:space="preserve"> reprend ses poursuites et, après que les parties ont saisi le conseil du roi, l’affaire est renvoyée au parlement de Paris. C’est dans un célèbre recueil d’arrêts de ce parlement, dont la première édition date de 1690, que le cas judiciaire se trouve exposé puis commenté. Dans un royaume où le pluralisme juridique est de mise (droit féodal, droit canonique, coutumes, législation royale), la connaissance des cas judiciaires et de la jurisprudence est essentielle aux avocats comme aux procureurs et aux juges. Ici, le problème posé est celui de savoir si, ayant signé des articles de mariage puis s’étant ravisée, la mère peut continuer de poursuivre en justice le rapt de sa fille. Après l’exposé des faits, le rédacteur résume les positions des avocats puis de l’avocat général (Bignon) en mettant pédagogiquement en avant les moyens </w:t>
      </w:r>
      <w:r w:rsidR="00DC1559">
        <w:lastRenderedPageBreak/>
        <w:t xml:space="preserve">judiciaires utilisés. Enfin, il rend compte de la décision de la cour : en l’occurrence, celle-ci décide le 12 février de la prise de corps de </w:t>
      </w:r>
      <w:proofErr w:type="spellStart"/>
      <w:r w:rsidR="00DC1559">
        <w:t>Danfernel</w:t>
      </w:r>
      <w:proofErr w:type="spellEnd"/>
      <w:r w:rsidR="00DC1559">
        <w:t xml:space="preserve">, qui est conduit à la conciergerie du Palais. Les commentaires qui suivent et qui sont postérieurs ne mentionnent malheureusement pas la sentence définitive (si toutefois elle a été prononcée, le taux d’évaporation des affaires après « plus ample informé » étant très élevé). </w:t>
      </w:r>
    </w:p>
    <w:p w14:paraId="09F14DFE" w14:textId="77777777" w:rsidR="00CC4ADE" w:rsidRPr="00DC1559" w:rsidRDefault="00DC1559" w:rsidP="00E167D5">
      <w:pPr>
        <w:pStyle w:val="Citationsources"/>
      </w:pPr>
      <w:r>
        <w:t xml:space="preserve">Sylvie </w:t>
      </w:r>
      <w:proofErr w:type="spellStart"/>
      <w:r>
        <w:rPr>
          <w:smallCaps/>
        </w:rPr>
        <w:t>steinberg</w:t>
      </w:r>
      <w:proofErr w:type="spellEnd"/>
      <w:r>
        <w:t xml:space="preserve">, dans </w:t>
      </w:r>
      <w:r w:rsidRPr="00DC1559">
        <w:rPr>
          <w:i/>
        </w:rPr>
        <w:t>Une histoire des femmes en Europe (des grottes aux Lumières)</w:t>
      </w:r>
      <w:r>
        <w:t xml:space="preserve">, </w:t>
      </w:r>
      <w:r>
        <w:br/>
        <w:t xml:space="preserve">dir. Sophie </w:t>
      </w:r>
      <w:r w:rsidRPr="007E4C1F">
        <w:rPr>
          <w:smallCaps/>
        </w:rPr>
        <w:t>Lalanne</w:t>
      </w:r>
      <w:r>
        <w:t xml:space="preserve">, Didier </w:t>
      </w:r>
      <w:proofErr w:type="spellStart"/>
      <w:r w:rsidRPr="007E4C1F">
        <w:rPr>
          <w:smallCaps/>
        </w:rPr>
        <w:t>Lett</w:t>
      </w:r>
      <w:proofErr w:type="spellEnd"/>
      <w:r>
        <w:t xml:space="preserve">, Dominique </w:t>
      </w:r>
      <w:proofErr w:type="spellStart"/>
      <w:r w:rsidRPr="007E4C1F">
        <w:rPr>
          <w:smallCaps/>
        </w:rPr>
        <w:t>Picco</w:t>
      </w:r>
      <w:proofErr w:type="spellEnd"/>
      <w:r>
        <w:t xml:space="preserve">, </w:t>
      </w:r>
      <w:r w:rsidR="007E4C1F">
        <w:t>Paris</w:t>
      </w:r>
      <w:r>
        <w:t xml:space="preserve">, Armand Colin, 2024, p. 469. </w:t>
      </w:r>
    </w:p>
    <w:p w14:paraId="0949D16F" w14:textId="77777777" w:rsidR="00647699" w:rsidRPr="001876DF" w:rsidRDefault="00647699" w:rsidP="00620E44">
      <w:pPr>
        <w:pStyle w:val="Titre1"/>
      </w:pPr>
      <w:r w:rsidRPr="001876DF">
        <w:t xml:space="preserve">Document </w:t>
      </w:r>
      <w:r w:rsidR="00797B07">
        <w:t>3</w:t>
      </w:r>
      <w:r w:rsidRPr="001876DF">
        <w:t xml:space="preserve">. </w:t>
      </w:r>
      <w:r w:rsidR="00AC53EF">
        <w:t>La sexualité</w:t>
      </w:r>
      <w:r>
        <w:t xml:space="preserve"> </w:t>
      </w:r>
      <w:r w:rsidR="00215664">
        <w:t>et la société</w:t>
      </w:r>
      <w:r>
        <w:t xml:space="preserve"> d’Ancien régime </w:t>
      </w:r>
      <w:r w:rsidRPr="001876DF">
        <w:t xml:space="preserve"> </w:t>
      </w:r>
    </w:p>
    <w:p w14:paraId="6FF43FBA" w14:textId="77777777" w:rsidR="002F6EE2" w:rsidRDefault="00AC53EF" w:rsidP="00620E44">
      <w:r w:rsidRPr="00215664">
        <w:t xml:space="preserve">Au Moyen Âge – et c’est aussi vrai à l’époque moderne –, la sexualité est ce que quelqu’un fait à quelqu’un d’autre. Il y a une véritable asymétrie de l’acte : la sexualité n’est pas un rapport mutuel. Et ce « quelqu’un qui fait » est pensé comme masculin : c’est à l’homme de se déclarer et d’inciter sa partenaire à céder, dans un cadre légal, en vue du mariage, bien sûr. Ce qu’on appelle la « séduction » est précisément le fait d’entraîner quelqu’un à céder à une pression considérée comme amoureuse, en vue du mariage, mais c’est aussi le fait de ne pas « solenniser », c’est-à-dire de tromper la personne en ne l’épousant pas. La séduction est poursuivie par les tribunaux, d’abord ecclésiastiques, puis séculiers, au cours du Moyen Âge et à l’époque moderne. </w:t>
      </w:r>
    </w:p>
    <w:p w14:paraId="083DA973" w14:textId="77777777" w:rsidR="00C651D6" w:rsidRPr="00215664" w:rsidRDefault="00AC53EF" w:rsidP="00620E44">
      <w:r w:rsidRPr="00215664">
        <w:t>Or</w:t>
      </w:r>
      <w:r w:rsidR="002F6EE2">
        <w:t>,</w:t>
      </w:r>
      <w:r w:rsidRPr="00215664">
        <w:t xml:space="preserve"> cette séduction est asymétrique. Le juriste Jean-François </w:t>
      </w:r>
      <w:proofErr w:type="spellStart"/>
      <w:r w:rsidRPr="00215664">
        <w:t>Fournel</w:t>
      </w:r>
      <w:proofErr w:type="spellEnd"/>
      <w:r w:rsidRPr="00215664">
        <w:t xml:space="preserve">, dans son </w:t>
      </w:r>
      <w:r w:rsidRPr="00215664">
        <w:rPr>
          <w:i/>
        </w:rPr>
        <w:t>Traité de la séduction</w:t>
      </w:r>
      <w:r w:rsidRPr="00215664">
        <w:t>, à la fin du XVIII</w:t>
      </w:r>
      <w:r w:rsidRPr="00215664">
        <w:rPr>
          <w:vertAlign w:val="superscript"/>
        </w:rPr>
        <w:t>e</w:t>
      </w:r>
      <w:r w:rsidRPr="00215664">
        <w:t xml:space="preserve"> siècle, écrit qu’il n’est pas imaginable qu’une femme séduise un homme pour l’épouser et l’oblige à avoir des relations sexuelles, parce que son honneur est engagé et qu’elle n’a aucun intérêt à le faire, sauf si c’est une prostituée.</w:t>
      </w:r>
      <w:r w:rsidR="00215664" w:rsidRPr="00215664">
        <w:t xml:space="preserve"> </w:t>
      </w:r>
      <w:r w:rsidR="00215664" w:rsidRPr="00215664">
        <w:rPr>
          <w:rFonts w:cs="Times New Roman"/>
        </w:rPr>
        <w:t>[</w:t>
      </w:r>
      <w:r w:rsidR="00215664" w:rsidRPr="00215664">
        <w:t>...</w:t>
      </w:r>
      <w:r w:rsidR="00215664" w:rsidRPr="00215664">
        <w:rPr>
          <w:rFonts w:cs="Times New Roman"/>
        </w:rPr>
        <w:t>] Elle est considérée comme une contrainte ou comme ce que nous appellerions, nous, une « emprise », c’est-à-dire une façon de conditionner quelqu’un pour en obtenir ce qu’il ne veut pas donner. La violence sexuelle sur les femmes est définie, dans ce schéma, comme un palier supplémentaire, et par l’usage de la force physique, qu’il s’agisse de poursuivre le mariage (rapt) ou non (viol), les deux termes étant souvent interchangeables.</w:t>
      </w:r>
      <w:r w:rsidR="00215664">
        <w:rPr>
          <w:rFonts w:cs="Times New Roman"/>
        </w:rPr>
        <w:t xml:space="preserve"> </w:t>
      </w:r>
    </w:p>
    <w:p w14:paraId="409A6364" w14:textId="77777777" w:rsidR="00DC1559" w:rsidRDefault="00215664" w:rsidP="00C427E8">
      <w:pPr>
        <w:pStyle w:val="Citationsources"/>
      </w:pPr>
      <w:r w:rsidRPr="002151F8">
        <w:t xml:space="preserve">« De la différence des sexes aux violences sexuelles. Restituer la complexité historique », </w:t>
      </w:r>
      <w:r w:rsidRPr="002151F8">
        <w:br/>
        <w:t xml:space="preserve">Entretien avec Sylvie </w:t>
      </w:r>
      <w:r w:rsidRPr="002151F8">
        <w:rPr>
          <w:smallCaps/>
        </w:rPr>
        <w:t>Steinberg</w:t>
      </w:r>
      <w:r w:rsidRPr="002151F8">
        <w:t xml:space="preserve">, </w:t>
      </w:r>
      <w:r w:rsidRPr="002151F8">
        <w:rPr>
          <w:i/>
        </w:rPr>
        <w:t>Le monde commun</w:t>
      </w:r>
      <w:r w:rsidRPr="002151F8">
        <w:t xml:space="preserve">, 9-1, 2024, p. 12-33, ici p. 17-18. </w:t>
      </w:r>
      <w:r w:rsidR="00280EF5" w:rsidRPr="002151F8">
        <w:t xml:space="preserve"> </w:t>
      </w:r>
    </w:p>
    <w:p w14:paraId="7DE3B928" w14:textId="77777777" w:rsidR="00DC1559" w:rsidRPr="001876DF" w:rsidRDefault="00DC1559" w:rsidP="0043459C">
      <w:pPr>
        <w:pStyle w:val="Titre1"/>
        <w:spacing w:before="120"/>
      </w:pPr>
      <w:r>
        <w:sym w:font="Wingdings" w:char="F026"/>
      </w:r>
      <w:r>
        <w:t xml:space="preserve"> </w:t>
      </w:r>
      <w:r w:rsidRPr="001876DF">
        <w:t>Bibliographie sélective</w:t>
      </w:r>
    </w:p>
    <w:p w14:paraId="24433ED3" w14:textId="77777777" w:rsidR="00DC1559" w:rsidRPr="00E11415" w:rsidRDefault="00DC1559" w:rsidP="00DC1559">
      <w:pPr>
        <w:pStyle w:val="Sansinterligne"/>
        <w:spacing w:before="60" w:after="60" w:line="276" w:lineRule="auto"/>
        <w:rPr>
          <w:sz w:val="21"/>
        </w:rPr>
      </w:pPr>
      <w:r>
        <w:rPr>
          <w:smallCaps/>
          <w:sz w:val="21"/>
        </w:rPr>
        <w:t>**</w:t>
      </w:r>
      <w:r w:rsidRPr="00E11415">
        <w:rPr>
          <w:smallCaps/>
          <w:sz w:val="21"/>
        </w:rPr>
        <w:t>Lalanne</w:t>
      </w:r>
      <w:r w:rsidRPr="00E11415">
        <w:rPr>
          <w:sz w:val="21"/>
        </w:rPr>
        <w:t xml:space="preserve">, Sophie, </w:t>
      </w:r>
      <w:proofErr w:type="spellStart"/>
      <w:r w:rsidRPr="00E11415">
        <w:rPr>
          <w:smallCaps/>
          <w:sz w:val="21"/>
        </w:rPr>
        <w:t>Lett</w:t>
      </w:r>
      <w:proofErr w:type="spellEnd"/>
      <w:r w:rsidRPr="00E11415">
        <w:rPr>
          <w:sz w:val="21"/>
        </w:rPr>
        <w:t xml:space="preserve">, Didier, </w:t>
      </w:r>
      <w:proofErr w:type="spellStart"/>
      <w:r w:rsidRPr="00E11415">
        <w:rPr>
          <w:smallCaps/>
          <w:sz w:val="21"/>
        </w:rPr>
        <w:t>Picco</w:t>
      </w:r>
      <w:proofErr w:type="spellEnd"/>
      <w:r w:rsidRPr="00E11415">
        <w:rPr>
          <w:sz w:val="21"/>
        </w:rPr>
        <w:t xml:space="preserve">, Dominique (dir.), </w:t>
      </w:r>
      <w:r w:rsidRPr="00E11415">
        <w:rPr>
          <w:i/>
          <w:sz w:val="21"/>
        </w:rPr>
        <w:t xml:space="preserve">Une histoire des femmes en Europe </w:t>
      </w:r>
      <w:r w:rsidRPr="00E11415">
        <w:rPr>
          <w:i/>
          <w:sz w:val="21"/>
        </w:rPr>
        <w:br/>
        <w:t xml:space="preserve">  (des grottes aux Lumières). Objets, images, textes, </w:t>
      </w:r>
      <w:r w:rsidRPr="00E11415">
        <w:rPr>
          <w:sz w:val="21"/>
        </w:rPr>
        <w:t xml:space="preserve">Malakoff, Armand Colin, 2024, p. 468-471. </w:t>
      </w:r>
    </w:p>
    <w:p w14:paraId="42CDF1E7" w14:textId="77777777" w:rsidR="00DC1559" w:rsidRPr="00E11415" w:rsidRDefault="00DC1559" w:rsidP="00DC1559">
      <w:pPr>
        <w:pStyle w:val="Sansinterligne"/>
        <w:spacing w:before="60" w:after="60" w:line="276" w:lineRule="auto"/>
        <w:rPr>
          <w:sz w:val="21"/>
        </w:rPr>
      </w:pPr>
      <w:proofErr w:type="spellStart"/>
      <w:r w:rsidRPr="00773997">
        <w:rPr>
          <w:smallCaps/>
          <w:sz w:val="21"/>
        </w:rPr>
        <w:t>Peronneau</w:t>
      </w:r>
      <w:proofErr w:type="spellEnd"/>
      <w:r w:rsidRPr="00E11415">
        <w:rPr>
          <w:sz w:val="21"/>
        </w:rPr>
        <w:t xml:space="preserve"> </w:t>
      </w:r>
      <w:proofErr w:type="spellStart"/>
      <w:r w:rsidRPr="00773997">
        <w:rPr>
          <w:smallCaps/>
          <w:sz w:val="21"/>
        </w:rPr>
        <w:t>Saint-Jalmes</w:t>
      </w:r>
      <w:proofErr w:type="spellEnd"/>
      <w:r w:rsidRPr="00E11415">
        <w:rPr>
          <w:sz w:val="21"/>
        </w:rPr>
        <w:t xml:space="preserve">, Énora, </w:t>
      </w:r>
      <w:r w:rsidRPr="00E11415">
        <w:rPr>
          <w:i/>
          <w:sz w:val="21"/>
        </w:rPr>
        <w:t>Crimes sexuels et société à la fin de l’Ancien Régime</w:t>
      </w:r>
      <w:r w:rsidRPr="00E11415">
        <w:rPr>
          <w:sz w:val="21"/>
        </w:rPr>
        <w:t xml:space="preserve">, Paris, Perrin, 2021. </w:t>
      </w:r>
    </w:p>
    <w:p w14:paraId="71C60F2B" w14:textId="77777777" w:rsidR="00DC1559" w:rsidRPr="00E11415" w:rsidRDefault="00DC1559" w:rsidP="00DC1559">
      <w:pPr>
        <w:pStyle w:val="Sansinterligne"/>
        <w:spacing w:before="60" w:after="60" w:line="276" w:lineRule="auto"/>
        <w:rPr>
          <w:sz w:val="21"/>
        </w:rPr>
      </w:pPr>
      <w:proofErr w:type="spellStart"/>
      <w:r w:rsidRPr="00E11415">
        <w:rPr>
          <w:smallCaps/>
          <w:sz w:val="21"/>
        </w:rPr>
        <w:t>Simonetti</w:t>
      </w:r>
      <w:proofErr w:type="spellEnd"/>
      <w:r w:rsidRPr="00E11415">
        <w:rPr>
          <w:sz w:val="21"/>
        </w:rPr>
        <w:t xml:space="preserve">, </w:t>
      </w:r>
      <w:proofErr w:type="spellStart"/>
      <w:r w:rsidRPr="00E11415">
        <w:rPr>
          <w:sz w:val="21"/>
        </w:rPr>
        <w:t>Ilaria</w:t>
      </w:r>
      <w:proofErr w:type="spellEnd"/>
      <w:r w:rsidRPr="00E11415">
        <w:rPr>
          <w:sz w:val="21"/>
        </w:rPr>
        <w:t xml:space="preserve">, « Violence (et genre) » ; </w:t>
      </w:r>
      <w:proofErr w:type="spellStart"/>
      <w:r w:rsidRPr="00E11415">
        <w:rPr>
          <w:smallCaps/>
          <w:sz w:val="21"/>
        </w:rPr>
        <w:t>Debauche</w:t>
      </w:r>
      <w:proofErr w:type="spellEnd"/>
      <w:r w:rsidRPr="00E11415">
        <w:rPr>
          <w:sz w:val="21"/>
        </w:rPr>
        <w:t xml:space="preserve">, Alice, « Violence sexuelle », </w:t>
      </w:r>
      <w:r w:rsidRPr="00E11415">
        <w:rPr>
          <w:sz w:val="21"/>
        </w:rPr>
        <w:br/>
        <w:t xml:space="preserve">  dans Juliette </w:t>
      </w:r>
      <w:r w:rsidRPr="00E11415">
        <w:rPr>
          <w:smallCaps/>
          <w:sz w:val="21"/>
        </w:rPr>
        <w:t>Rennes</w:t>
      </w:r>
      <w:r w:rsidRPr="00E11415">
        <w:rPr>
          <w:sz w:val="21"/>
        </w:rPr>
        <w:t xml:space="preserve"> (dir.), </w:t>
      </w:r>
      <w:r w:rsidRPr="00E11415">
        <w:rPr>
          <w:i/>
          <w:sz w:val="21"/>
        </w:rPr>
        <w:t xml:space="preserve">Encyclopédie critique du </w:t>
      </w:r>
      <w:r w:rsidRPr="00E11415">
        <w:rPr>
          <w:sz w:val="21"/>
        </w:rPr>
        <w:t xml:space="preserve">genre, Paris, La Découverte, 2016, p. 681-690 et 691-700.  </w:t>
      </w:r>
    </w:p>
    <w:p w14:paraId="5640E62C" w14:textId="77777777" w:rsidR="00C427E8" w:rsidRDefault="00DC1559" w:rsidP="00DC1559">
      <w:pPr>
        <w:pStyle w:val="Biblio"/>
        <w:rPr>
          <w:rFonts w:eastAsia="Times New Roman"/>
          <w:smallCaps w:val="0"/>
          <w:lang w:eastAsia="fr-FR"/>
        </w:rPr>
      </w:pPr>
      <w:r w:rsidRPr="002151F8">
        <w:t>Steinberg</w:t>
      </w:r>
      <w:r w:rsidRPr="00E11415">
        <w:t xml:space="preserve">, </w:t>
      </w:r>
      <w:r w:rsidRPr="002151F8">
        <w:rPr>
          <w:smallCaps w:val="0"/>
        </w:rPr>
        <w:t xml:space="preserve">Sylvie, « </w:t>
      </w:r>
      <w:r w:rsidRPr="002151F8">
        <w:rPr>
          <w:rFonts w:eastAsia="Times New Roman"/>
          <w:smallCaps w:val="0"/>
          <w:lang w:eastAsia="fr-FR"/>
        </w:rPr>
        <w:t xml:space="preserve">Lire et interpréter les récits de viol dans les archives judiciaires </w:t>
      </w:r>
      <w:r>
        <w:rPr>
          <w:rFonts w:eastAsia="Times New Roman"/>
          <w:smallCaps w:val="0"/>
          <w:lang w:eastAsia="fr-FR"/>
        </w:rPr>
        <w:br/>
        <w:t xml:space="preserve">  </w:t>
      </w:r>
      <w:r w:rsidRPr="002151F8">
        <w:rPr>
          <w:rFonts w:eastAsia="Times New Roman"/>
          <w:smallCaps w:val="0"/>
          <w:lang w:eastAsia="fr-FR"/>
        </w:rPr>
        <w:t xml:space="preserve">(Europe, époque moderne) », </w:t>
      </w:r>
      <w:r w:rsidRPr="002151F8">
        <w:rPr>
          <w:rFonts w:eastAsia="Times New Roman"/>
          <w:i/>
          <w:iCs/>
          <w:smallCaps w:val="0"/>
          <w:lang w:eastAsia="fr-FR"/>
        </w:rPr>
        <w:t>Clio. Femmes, Genre, Histoire</w:t>
      </w:r>
      <w:r w:rsidRPr="002151F8">
        <w:rPr>
          <w:rFonts w:eastAsia="Times New Roman"/>
          <w:smallCaps w:val="0"/>
          <w:lang w:eastAsia="fr-FR"/>
        </w:rPr>
        <w:t>, 52-2, 2020, p. 163</w:t>
      </w:r>
      <w:r w:rsidRPr="002151F8">
        <w:rPr>
          <w:rFonts w:eastAsia="Times New Roman"/>
          <w:smallCaps w:val="0"/>
          <w:lang w:eastAsia="fr-FR"/>
        </w:rPr>
        <w:noBreakHyphen/>
        <w:t xml:space="preserve">193. </w:t>
      </w:r>
    </w:p>
    <w:p w14:paraId="12CB0213" w14:textId="77777777" w:rsidR="00F80591" w:rsidRDefault="00F80591" w:rsidP="005A68D7">
      <w:pPr>
        <w:pStyle w:val="Titre1"/>
      </w:pPr>
      <w:r>
        <w:br w:type="page"/>
      </w:r>
    </w:p>
    <w:p w14:paraId="111B4F73" w14:textId="77777777" w:rsidR="005A68D7" w:rsidRPr="00FF3871" w:rsidRDefault="005A68D7" w:rsidP="005A68D7">
      <w:pPr>
        <w:pStyle w:val="Titre1"/>
      </w:pPr>
      <w:r w:rsidRPr="00FF3871">
        <w:lastRenderedPageBreak/>
        <w:sym w:font="Wingdings" w:char="F04F"/>
      </w:r>
      <w:r w:rsidRPr="00FF3871">
        <w:t xml:space="preserve"> Comprendre son travail et l’améliorer : les attendus d’une introduction </w:t>
      </w:r>
    </w:p>
    <w:tbl>
      <w:tblPr>
        <w:tblStyle w:val="Grilledutableau1"/>
        <w:tblW w:w="9782" w:type="dxa"/>
        <w:tblInd w:w="-289" w:type="dxa"/>
        <w:tblLayout w:type="fixed"/>
        <w:tblLook w:val="04A0" w:firstRow="1" w:lastRow="0" w:firstColumn="1" w:lastColumn="0" w:noHBand="0" w:noVBand="1"/>
      </w:tblPr>
      <w:tblGrid>
        <w:gridCol w:w="9356"/>
        <w:gridCol w:w="426"/>
      </w:tblGrid>
      <w:tr w:rsidR="005A68D7" w:rsidRPr="008734B9" w14:paraId="17B64C08" w14:textId="77777777" w:rsidTr="00455CF9">
        <w:tc>
          <w:tcPr>
            <w:tcW w:w="9356" w:type="dxa"/>
          </w:tcPr>
          <w:p w14:paraId="5FC39943" w14:textId="77777777" w:rsidR="005A68D7" w:rsidRPr="008734B9" w:rsidRDefault="005A68D7" w:rsidP="00455CF9">
            <w:pPr>
              <w:pStyle w:val="Sansinterligne"/>
              <w:spacing w:before="80" w:after="80"/>
              <w:rPr>
                <w:b/>
                <w:sz w:val="22"/>
                <w:szCs w:val="22"/>
              </w:rPr>
            </w:pPr>
            <w:r>
              <w:rPr>
                <w:b/>
                <w:sz w:val="22"/>
                <w:szCs w:val="22"/>
              </w:rPr>
              <w:t xml:space="preserve">La présentation du document est détaillée et permet d’amener vers la problématique  </w:t>
            </w:r>
          </w:p>
        </w:tc>
        <w:tc>
          <w:tcPr>
            <w:tcW w:w="426" w:type="dxa"/>
            <w:shd w:val="clear" w:color="auto" w:fill="BFBFBF" w:themeFill="background1" w:themeFillShade="BF"/>
          </w:tcPr>
          <w:p w14:paraId="6DDB78CD" w14:textId="77777777" w:rsidR="005A68D7" w:rsidRPr="008734B9" w:rsidRDefault="005A68D7" w:rsidP="00455CF9">
            <w:pPr>
              <w:pStyle w:val="Sansinterligne"/>
              <w:spacing w:before="80" w:after="80"/>
              <w:rPr>
                <w:b/>
                <w:sz w:val="22"/>
                <w:szCs w:val="22"/>
              </w:rPr>
            </w:pPr>
          </w:p>
        </w:tc>
      </w:tr>
      <w:tr w:rsidR="005A68D7" w:rsidRPr="008734B9" w14:paraId="7825F44C" w14:textId="77777777" w:rsidTr="00455CF9">
        <w:tc>
          <w:tcPr>
            <w:tcW w:w="9356" w:type="dxa"/>
          </w:tcPr>
          <w:p w14:paraId="478F969D" w14:textId="77777777" w:rsidR="005A68D7" w:rsidRPr="008734B9" w:rsidRDefault="005A68D7" w:rsidP="00455CF9">
            <w:pPr>
              <w:pStyle w:val="Sansinterligne"/>
              <w:spacing w:before="40" w:after="40"/>
              <w:ind w:left="171"/>
              <w:rPr>
                <w:i/>
                <w:sz w:val="22"/>
                <w:szCs w:val="22"/>
              </w:rPr>
            </w:pPr>
            <w:r>
              <w:rPr>
                <w:i/>
                <w:sz w:val="22"/>
                <w:szCs w:val="22"/>
              </w:rPr>
              <w:t xml:space="preserve">Ni l’auteur, ni la nature, ni le contexte de production de la source ne sont analysés. </w:t>
            </w:r>
            <w:r>
              <w:rPr>
                <w:i/>
                <w:sz w:val="22"/>
                <w:szCs w:val="22"/>
              </w:rPr>
              <w:br/>
              <w:t xml:space="preserve">L’introduction consiste en une restitution de connaissances vagues sur la période, sans rapport avec la source.  </w:t>
            </w:r>
          </w:p>
        </w:tc>
        <w:tc>
          <w:tcPr>
            <w:tcW w:w="426" w:type="dxa"/>
            <w:vAlign w:val="center"/>
          </w:tcPr>
          <w:p w14:paraId="6A91D85A" w14:textId="77777777" w:rsidR="005A68D7" w:rsidRPr="008734B9" w:rsidRDefault="005A68D7" w:rsidP="00455CF9">
            <w:pPr>
              <w:pStyle w:val="Sansinterligne"/>
              <w:spacing w:before="40" w:after="40"/>
              <w:ind w:left="-10"/>
              <w:jc w:val="center"/>
              <w:rPr>
                <w:sz w:val="22"/>
                <w:szCs w:val="22"/>
              </w:rPr>
            </w:pPr>
            <w:r>
              <w:rPr>
                <w:sz w:val="22"/>
                <w:szCs w:val="22"/>
              </w:rPr>
              <w:t>0</w:t>
            </w:r>
          </w:p>
        </w:tc>
      </w:tr>
      <w:tr w:rsidR="005A68D7" w:rsidRPr="008734B9" w14:paraId="5D73F236" w14:textId="77777777" w:rsidTr="00455CF9">
        <w:tc>
          <w:tcPr>
            <w:tcW w:w="9356" w:type="dxa"/>
          </w:tcPr>
          <w:p w14:paraId="6319EE42" w14:textId="77777777" w:rsidR="005A68D7" w:rsidRPr="008734B9" w:rsidRDefault="005A68D7" w:rsidP="00455CF9">
            <w:pPr>
              <w:pStyle w:val="Sansinterligne"/>
              <w:spacing w:before="40" w:after="40"/>
              <w:ind w:left="171"/>
              <w:rPr>
                <w:i/>
                <w:sz w:val="22"/>
                <w:szCs w:val="22"/>
              </w:rPr>
            </w:pPr>
            <w:r w:rsidRPr="008734B9">
              <w:rPr>
                <w:i/>
                <w:sz w:val="22"/>
                <w:szCs w:val="22"/>
              </w:rPr>
              <w:t xml:space="preserve">L’auteur, la nature et le contexte du document ne sont pas </w:t>
            </w:r>
            <w:r>
              <w:rPr>
                <w:i/>
                <w:sz w:val="22"/>
                <w:szCs w:val="22"/>
              </w:rPr>
              <w:t>ou presque pas</w:t>
            </w:r>
            <w:r w:rsidRPr="008734B9">
              <w:rPr>
                <w:i/>
                <w:sz w:val="22"/>
                <w:szCs w:val="22"/>
              </w:rPr>
              <w:t xml:space="preserve"> analysés, avec des incohérences historiques importantes. </w:t>
            </w:r>
          </w:p>
        </w:tc>
        <w:tc>
          <w:tcPr>
            <w:tcW w:w="426" w:type="dxa"/>
            <w:vAlign w:val="center"/>
          </w:tcPr>
          <w:p w14:paraId="74D6547B" w14:textId="77777777" w:rsidR="005A68D7" w:rsidRPr="008734B9" w:rsidRDefault="005A68D7" w:rsidP="00455CF9">
            <w:pPr>
              <w:pStyle w:val="Sansinterligne"/>
              <w:spacing w:before="40" w:after="40"/>
              <w:ind w:left="-10"/>
              <w:jc w:val="center"/>
              <w:rPr>
                <w:sz w:val="22"/>
                <w:szCs w:val="22"/>
              </w:rPr>
            </w:pPr>
            <w:r w:rsidRPr="008734B9">
              <w:rPr>
                <w:sz w:val="22"/>
                <w:szCs w:val="22"/>
              </w:rPr>
              <w:t>1</w:t>
            </w:r>
          </w:p>
        </w:tc>
      </w:tr>
      <w:tr w:rsidR="005A68D7" w:rsidRPr="008734B9" w14:paraId="532953FD" w14:textId="77777777" w:rsidTr="00455CF9">
        <w:tc>
          <w:tcPr>
            <w:tcW w:w="9356" w:type="dxa"/>
          </w:tcPr>
          <w:p w14:paraId="441FE173" w14:textId="77777777" w:rsidR="005A68D7" w:rsidRPr="008734B9" w:rsidRDefault="005A68D7" w:rsidP="00455CF9">
            <w:pPr>
              <w:pStyle w:val="Sansinterligne"/>
              <w:spacing w:before="40" w:after="40"/>
              <w:ind w:left="171"/>
              <w:rPr>
                <w:i/>
                <w:sz w:val="22"/>
                <w:szCs w:val="22"/>
              </w:rPr>
            </w:pPr>
            <w:r w:rsidRPr="008734B9">
              <w:rPr>
                <w:i/>
                <w:sz w:val="22"/>
                <w:szCs w:val="22"/>
              </w:rPr>
              <w:t xml:space="preserve">L’auteur est présenté judicieusement, en sélectionnant ce qui permet de mieux comprendre le document. </w:t>
            </w:r>
            <w:r w:rsidRPr="008734B9">
              <w:rPr>
                <w:i/>
                <w:sz w:val="22"/>
                <w:szCs w:val="22"/>
              </w:rPr>
              <w:br/>
              <w:t xml:space="preserve">L’analyse de la nature du document permet d’amener d’autres éléments (destinataire(s), objectif(s)). </w:t>
            </w:r>
            <w:r w:rsidRPr="008734B9">
              <w:rPr>
                <w:i/>
                <w:sz w:val="22"/>
                <w:szCs w:val="22"/>
              </w:rPr>
              <w:br/>
              <w:t xml:space="preserve">Le contexte est ciblé pour correspondre au propos. </w:t>
            </w:r>
          </w:p>
        </w:tc>
        <w:tc>
          <w:tcPr>
            <w:tcW w:w="426" w:type="dxa"/>
            <w:vAlign w:val="center"/>
          </w:tcPr>
          <w:p w14:paraId="1618DED5" w14:textId="77777777" w:rsidR="005A68D7" w:rsidRPr="008734B9" w:rsidRDefault="005A68D7" w:rsidP="00455CF9">
            <w:pPr>
              <w:pStyle w:val="Sansinterligne"/>
              <w:spacing w:before="40" w:after="40"/>
              <w:ind w:left="-10"/>
              <w:jc w:val="center"/>
              <w:rPr>
                <w:sz w:val="22"/>
                <w:szCs w:val="22"/>
              </w:rPr>
            </w:pPr>
            <w:r w:rsidRPr="008734B9">
              <w:rPr>
                <w:sz w:val="22"/>
                <w:szCs w:val="22"/>
              </w:rPr>
              <w:t>2</w:t>
            </w:r>
          </w:p>
        </w:tc>
      </w:tr>
      <w:tr w:rsidR="005A68D7" w:rsidRPr="008734B9" w14:paraId="527EF4E9" w14:textId="77777777" w:rsidTr="00455CF9">
        <w:tc>
          <w:tcPr>
            <w:tcW w:w="9356" w:type="dxa"/>
          </w:tcPr>
          <w:p w14:paraId="7387FD1B" w14:textId="77777777" w:rsidR="005A68D7" w:rsidRPr="008734B9" w:rsidRDefault="005A68D7" w:rsidP="00455CF9">
            <w:pPr>
              <w:pStyle w:val="Sansinterligne"/>
              <w:spacing w:before="40" w:after="40"/>
              <w:ind w:left="171"/>
              <w:rPr>
                <w:i/>
                <w:sz w:val="22"/>
                <w:szCs w:val="22"/>
              </w:rPr>
            </w:pPr>
            <w:r w:rsidRPr="008734B9">
              <w:rPr>
                <w:i/>
                <w:sz w:val="22"/>
                <w:szCs w:val="22"/>
              </w:rPr>
              <w:t xml:space="preserve">Précédent + l’analyse de la nature du document tient autant compte des aspects matériels </w:t>
            </w:r>
            <w:r w:rsidRPr="008734B9">
              <w:rPr>
                <w:i/>
                <w:sz w:val="22"/>
                <w:szCs w:val="22"/>
              </w:rPr>
              <w:br/>
              <w:t xml:space="preserve">que des éléments annexes (destinataires, objectifs), donnant des indices sur la réception potentielle du document. </w:t>
            </w:r>
            <w:r w:rsidRPr="008734B9">
              <w:rPr>
                <w:i/>
                <w:sz w:val="22"/>
                <w:szCs w:val="22"/>
              </w:rPr>
              <w:br/>
              <w:t>Le contexte va du plus général (en quelques mots) au plus particulier (plus développé).</w:t>
            </w:r>
            <w:r>
              <w:rPr>
                <w:i/>
                <w:sz w:val="22"/>
                <w:szCs w:val="22"/>
              </w:rPr>
              <w:t xml:space="preserve"> Il amène vers la problématique. </w:t>
            </w:r>
          </w:p>
        </w:tc>
        <w:tc>
          <w:tcPr>
            <w:tcW w:w="426" w:type="dxa"/>
            <w:vAlign w:val="center"/>
          </w:tcPr>
          <w:p w14:paraId="4305D9BD" w14:textId="77777777" w:rsidR="005A68D7" w:rsidRPr="008734B9" w:rsidRDefault="005A68D7" w:rsidP="00455CF9">
            <w:pPr>
              <w:pStyle w:val="Sansinterligne"/>
              <w:spacing w:before="40" w:after="40"/>
              <w:ind w:left="-10"/>
              <w:jc w:val="center"/>
              <w:rPr>
                <w:sz w:val="22"/>
                <w:szCs w:val="22"/>
              </w:rPr>
            </w:pPr>
            <w:r w:rsidRPr="008734B9">
              <w:rPr>
                <w:sz w:val="22"/>
                <w:szCs w:val="22"/>
              </w:rPr>
              <w:t>3</w:t>
            </w:r>
          </w:p>
        </w:tc>
      </w:tr>
      <w:tr w:rsidR="005A68D7" w:rsidRPr="008734B9" w14:paraId="3E3FA11C" w14:textId="77777777" w:rsidTr="00455CF9">
        <w:tc>
          <w:tcPr>
            <w:tcW w:w="9356" w:type="dxa"/>
          </w:tcPr>
          <w:p w14:paraId="6B8672E5" w14:textId="77777777" w:rsidR="005A68D7" w:rsidRPr="008734B9" w:rsidRDefault="005A68D7" w:rsidP="00455CF9">
            <w:pPr>
              <w:pStyle w:val="Sansinterligne"/>
              <w:spacing w:before="80" w:after="80"/>
              <w:rPr>
                <w:b/>
                <w:sz w:val="22"/>
                <w:szCs w:val="22"/>
              </w:rPr>
            </w:pPr>
            <w:r w:rsidRPr="008734B9">
              <w:rPr>
                <w:b/>
                <w:sz w:val="22"/>
                <w:szCs w:val="22"/>
              </w:rPr>
              <w:t>La problématique est cohérente et écrite simplement</w:t>
            </w:r>
          </w:p>
        </w:tc>
        <w:tc>
          <w:tcPr>
            <w:tcW w:w="426" w:type="dxa"/>
            <w:shd w:val="clear" w:color="auto" w:fill="BFBFBF" w:themeFill="background1" w:themeFillShade="BF"/>
            <w:vAlign w:val="center"/>
          </w:tcPr>
          <w:p w14:paraId="1FF2BCBF" w14:textId="77777777" w:rsidR="005A68D7" w:rsidRPr="008734B9" w:rsidRDefault="005A68D7" w:rsidP="00455CF9">
            <w:pPr>
              <w:pStyle w:val="Sansinterligne"/>
              <w:spacing w:before="80" w:after="80"/>
              <w:ind w:left="-10"/>
              <w:jc w:val="center"/>
              <w:rPr>
                <w:b/>
                <w:sz w:val="22"/>
                <w:szCs w:val="22"/>
              </w:rPr>
            </w:pPr>
          </w:p>
        </w:tc>
      </w:tr>
      <w:tr w:rsidR="005A68D7" w:rsidRPr="008734B9" w14:paraId="70A063FF" w14:textId="77777777" w:rsidTr="00455CF9">
        <w:tc>
          <w:tcPr>
            <w:tcW w:w="9356" w:type="dxa"/>
          </w:tcPr>
          <w:p w14:paraId="2A149214" w14:textId="77777777" w:rsidR="005A68D7" w:rsidRPr="008734B9" w:rsidRDefault="005A68D7" w:rsidP="00455CF9">
            <w:pPr>
              <w:pStyle w:val="Sansinterligne"/>
              <w:spacing w:before="40" w:after="40"/>
              <w:ind w:left="171"/>
              <w:rPr>
                <w:i/>
                <w:sz w:val="22"/>
                <w:szCs w:val="22"/>
              </w:rPr>
            </w:pPr>
            <w:r>
              <w:rPr>
                <w:i/>
                <w:sz w:val="22"/>
                <w:szCs w:val="22"/>
              </w:rPr>
              <w:t xml:space="preserve">La problématique est amenée de manière maladroite (du type « nous allons nous demander… ») ; </w:t>
            </w:r>
            <w:r>
              <w:rPr>
                <w:i/>
                <w:sz w:val="22"/>
                <w:szCs w:val="22"/>
              </w:rPr>
              <w:br/>
              <w:t xml:space="preserve">elle consiste ou en une formulation du sujet de la source sous forme interrogative, ou en un questionnement maladroit sur l’apport événementiel de la source (du type « qu’est-ce que ce texte nous dit de tel événement ? »). </w:t>
            </w:r>
          </w:p>
        </w:tc>
        <w:tc>
          <w:tcPr>
            <w:tcW w:w="426" w:type="dxa"/>
            <w:vAlign w:val="center"/>
          </w:tcPr>
          <w:p w14:paraId="7234DA1C" w14:textId="77777777" w:rsidR="005A68D7" w:rsidRPr="008734B9" w:rsidRDefault="005A68D7" w:rsidP="00455CF9">
            <w:pPr>
              <w:pStyle w:val="Sansinterligne"/>
              <w:spacing w:before="40" w:after="40"/>
              <w:ind w:left="-10"/>
              <w:jc w:val="center"/>
              <w:rPr>
                <w:sz w:val="22"/>
                <w:szCs w:val="22"/>
              </w:rPr>
            </w:pPr>
            <w:r>
              <w:rPr>
                <w:sz w:val="22"/>
                <w:szCs w:val="22"/>
              </w:rPr>
              <w:t>0</w:t>
            </w:r>
          </w:p>
        </w:tc>
      </w:tr>
      <w:tr w:rsidR="005A68D7" w:rsidRPr="008734B9" w14:paraId="5EEC541D" w14:textId="77777777" w:rsidTr="00455CF9">
        <w:tc>
          <w:tcPr>
            <w:tcW w:w="9356" w:type="dxa"/>
          </w:tcPr>
          <w:p w14:paraId="54292958" w14:textId="77777777" w:rsidR="005A68D7" w:rsidRPr="008734B9" w:rsidRDefault="005A68D7" w:rsidP="00455CF9">
            <w:pPr>
              <w:pStyle w:val="Sansinterligne"/>
              <w:spacing w:before="40" w:after="40"/>
              <w:ind w:left="171"/>
              <w:rPr>
                <w:i/>
                <w:sz w:val="22"/>
                <w:szCs w:val="22"/>
              </w:rPr>
            </w:pPr>
            <w:r w:rsidRPr="008734B9">
              <w:rPr>
                <w:i/>
                <w:sz w:val="22"/>
                <w:szCs w:val="22"/>
              </w:rPr>
              <w:t xml:space="preserve">Trop complexe ou hors-sujet, la problématique n’apporte pas de questionnement particulier au document. </w:t>
            </w:r>
          </w:p>
        </w:tc>
        <w:tc>
          <w:tcPr>
            <w:tcW w:w="426" w:type="dxa"/>
            <w:vAlign w:val="center"/>
          </w:tcPr>
          <w:p w14:paraId="4A23EA9D" w14:textId="77777777" w:rsidR="005A68D7" w:rsidRPr="008734B9" w:rsidRDefault="005A68D7" w:rsidP="00455CF9">
            <w:pPr>
              <w:pStyle w:val="Sansinterligne"/>
              <w:spacing w:before="40" w:after="40"/>
              <w:ind w:left="-10"/>
              <w:jc w:val="center"/>
              <w:rPr>
                <w:sz w:val="22"/>
                <w:szCs w:val="22"/>
              </w:rPr>
            </w:pPr>
            <w:r w:rsidRPr="008734B9">
              <w:rPr>
                <w:sz w:val="22"/>
                <w:szCs w:val="22"/>
              </w:rPr>
              <w:t>1</w:t>
            </w:r>
          </w:p>
        </w:tc>
      </w:tr>
      <w:tr w:rsidR="005A68D7" w:rsidRPr="008734B9" w14:paraId="52F07208" w14:textId="77777777" w:rsidTr="00455CF9">
        <w:tc>
          <w:tcPr>
            <w:tcW w:w="9356" w:type="dxa"/>
          </w:tcPr>
          <w:p w14:paraId="2B63B687" w14:textId="77777777" w:rsidR="005A68D7" w:rsidRPr="008734B9" w:rsidRDefault="005A68D7" w:rsidP="00455CF9">
            <w:pPr>
              <w:pStyle w:val="Sansinterligne"/>
              <w:spacing w:before="40" w:after="40"/>
              <w:ind w:left="171"/>
              <w:rPr>
                <w:i/>
                <w:sz w:val="22"/>
                <w:szCs w:val="22"/>
              </w:rPr>
            </w:pPr>
            <w:r w:rsidRPr="008734B9">
              <w:rPr>
                <w:i/>
                <w:sz w:val="22"/>
                <w:szCs w:val="22"/>
              </w:rPr>
              <w:t xml:space="preserve">La problématique, rédigée simplement, donne au commentaire une clé de lecture découlant logiquement </w:t>
            </w:r>
            <w:r w:rsidRPr="008734B9">
              <w:rPr>
                <w:i/>
                <w:sz w:val="22"/>
                <w:szCs w:val="22"/>
              </w:rPr>
              <w:br/>
              <w:t xml:space="preserve">du reste de l’introduction, correspondant au titre du document et assez claire pour tenir compte de son ensemble. </w:t>
            </w:r>
          </w:p>
        </w:tc>
        <w:tc>
          <w:tcPr>
            <w:tcW w:w="426" w:type="dxa"/>
            <w:vAlign w:val="center"/>
          </w:tcPr>
          <w:p w14:paraId="2B5E124A" w14:textId="77777777" w:rsidR="005A68D7" w:rsidRPr="008734B9" w:rsidRDefault="005A68D7" w:rsidP="00455CF9">
            <w:pPr>
              <w:pStyle w:val="Sansinterligne"/>
              <w:spacing w:before="40" w:after="40"/>
              <w:ind w:left="-10"/>
              <w:jc w:val="center"/>
              <w:rPr>
                <w:sz w:val="22"/>
                <w:szCs w:val="22"/>
              </w:rPr>
            </w:pPr>
            <w:r w:rsidRPr="008734B9">
              <w:rPr>
                <w:sz w:val="22"/>
                <w:szCs w:val="22"/>
              </w:rPr>
              <w:t>2</w:t>
            </w:r>
          </w:p>
        </w:tc>
      </w:tr>
      <w:tr w:rsidR="005A68D7" w:rsidRPr="008734B9" w14:paraId="28A6D1C5" w14:textId="77777777" w:rsidTr="00455CF9">
        <w:tc>
          <w:tcPr>
            <w:tcW w:w="9356" w:type="dxa"/>
          </w:tcPr>
          <w:p w14:paraId="6D536BE1" w14:textId="77777777" w:rsidR="005A68D7" w:rsidRPr="008734B9" w:rsidRDefault="005A68D7" w:rsidP="00455CF9">
            <w:pPr>
              <w:pStyle w:val="Sansinterligne"/>
              <w:spacing w:before="80" w:after="80"/>
              <w:rPr>
                <w:b/>
                <w:sz w:val="22"/>
                <w:szCs w:val="22"/>
              </w:rPr>
            </w:pPr>
            <w:r w:rsidRPr="008734B9">
              <w:rPr>
                <w:b/>
                <w:sz w:val="22"/>
                <w:szCs w:val="22"/>
              </w:rPr>
              <w:t xml:space="preserve">L’annonce de plan est simple et claire </w:t>
            </w:r>
          </w:p>
        </w:tc>
        <w:tc>
          <w:tcPr>
            <w:tcW w:w="426" w:type="dxa"/>
            <w:shd w:val="clear" w:color="auto" w:fill="BFBFBF" w:themeFill="background1" w:themeFillShade="BF"/>
            <w:vAlign w:val="center"/>
          </w:tcPr>
          <w:p w14:paraId="345E81D0" w14:textId="77777777" w:rsidR="005A68D7" w:rsidRPr="008734B9" w:rsidRDefault="005A68D7" w:rsidP="00455CF9">
            <w:pPr>
              <w:pStyle w:val="Sansinterligne"/>
              <w:spacing w:before="80" w:after="80"/>
              <w:ind w:left="-10"/>
              <w:jc w:val="center"/>
              <w:rPr>
                <w:b/>
                <w:sz w:val="22"/>
                <w:szCs w:val="22"/>
              </w:rPr>
            </w:pPr>
          </w:p>
        </w:tc>
      </w:tr>
      <w:tr w:rsidR="005A68D7" w:rsidRPr="008734B9" w14:paraId="1507929A" w14:textId="77777777" w:rsidTr="00455CF9">
        <w:tc>
          <w:tcPr>
            <w:tcW w:w="9356" w:type="dxa"/>
          </w:tcPr>
          <w:p w14:paraId="22CA37CD" w14:textId="77777777" w:rsidR="005A68D7" w:rsidRPr="008734B9" w:rsidRDefault="005A68D7" w:rsidP="00455CF9">
            <w:pPr>
              <w:pStyle w:val="Sansinterligne"/>
              <w:spacing w:before="40" w:after="40"/>
              <w:ind w:left="171"/>
              <w:rPr>
                <w:i/>
                <w:sz w:val="22"/>
                <w:szCs w:val="22"/>
              </w:rPr>
            </w:pPr>
            <w:r>
              <w:rPr>
                <w:i/>
                <w:sz w:val="22"/>
                <w:szCs w:val="22"/>
              </w:rPr>
              <w:t xml:space="preserve">L’annonce est faite de bouts de phrases sans verbes, comme si les titres de partie étaient énumérés sans explication. Cette annonce ne permet pas de repérer facilement la cohérence ni la structure du plan.  </w:t>
            </w:r>
          </w:p>
        </w:tc>
        <w:tc>
          <w:tcPr>
            <w:tcW w:w="426" w:type="dxa"/>
            <w:vAlign w:val="center"/>
          </w:tcPr>
          <w:p w14:paraId="42CB8705" w14:textId="77777777" w:rsidR="005A68D7" w:rsidRPr="008734B9" w:rsidRDefault="005A68D7" w:rsidP="00455CF9">
            <w:pPr>
              <w:pStyle w:val="Sansinterligne"/>
              <w:spacing w:before="40" w:after="40"/>
              <w:ind w:left="-10"/>
              <w:jc w:val="center"/>
              <w:rPr>
                <w:sz w:val="22"/>
                <w:szCs w:val="22"/>
              </w:rPr>
            </w:pPr>
            <w:r>
              <w:rPr>
                <w:sz w:val="22"/>
                <w:szCs w:val="22"/>
              </w:rPr>
              <w:t>0</w:t>
            </w:r>
          </w:p>
        </w:tc>
      </w:tr>
      <w:tr w:rsidR="005A68D7" w:rsidRPr="008734B9" w14:paraId="33973204" w14:textId="77777777" w:rsidTr="00455CF9">
        <w:tc>
          <w:tcPr>
            <w:tcW w:w="9356" w:type="dxa"/>
          </w:tcPr>
          <w:p w14:paraId="5E8FD1DE" w14:textId="77777777" w:rsidR="005A68D7" w:rsidRPr="008734B9" w:rsidRDefault="005A68D7" w:rsidP="00455CF9">
            <w:pPr>
              <w:pStyle w:val="Sansinterligne"/>
              <w:spacing w:before="40" w:after="40"/>
              <w:ind w:left="171"/>
              <w:rPr>
                <w:i/>
                <w:sz w:val="22"/>
                <w:szCs w:val="22"/>
              </w:rPr>
            </w:pPr>
            <w:r w:rsidRPr="008734B9">
              <w:rPr>
                <w:i/>
                <w:sz w:val="22"/>
                <w:szCs w:val="22"/>
              </w:rPr>
              <w:t>Il est facile de repérer la structure. À chaque phrase correspond une partie.</w:t>
            </w:r>
            <w:r>
              <w:rPr>
                <w:i/>
                <w:sz w:val="22"/>
                <w:szCs w:val="22"/>
              </w:rPr>
              <w:t xml:space="preserve"> </w:t>
            </w:r>
          </w:p>
        </w:tc>
        <w:tc>
          <w:tcPr>
            <w:tcW w:w="426" w:type="dxa"/>
            <w:vAlign w:val="center"/>
          </w:tcPr>
          <w:p w14:paraId="4E732D21" w14:textId="77777777" w:rsidR="005A68D7" w:rsidRPr="008734B9" w:rsidRDefault="005A68D7" w:rsidP="00455CF9">
            <w:pPr>
              <w:pStyle w:val="Sansinterligne"/>
              <w:spacing w:before="40" w:after="40"/>
              <w:ind w:left="-10"/>
              <w:jc w:val="center"/>
              <w:rPr>
                <w:sz w:val="22"/>
                <w:szCs w:val="22"/>
              </w:rPr>
            </w:pPr>
            <w:r w:rsidRPr="008734B9">
              <w:rPr>
                <w:sz w:val="22"/>
                <w:szCs w:val="22"/>
              </w:rPr>
              <w:t>1</w:t>
            </w:r>
          </w:p>
        </w:tc>
      </w:tr>
      <w:tr w:rsidR="005A68D7" w:rsidRPr="008734B9" w14:paraId="7C19B76D" w14:textId="77777777" w:rsidTr="00455CF9">
        <w:tc>
          <w:tcPr>
            <w:tcW w:w="9356" w:type="dxa"/>
          </w:tcPr>
          <w:p w14:paraId="4A6693ED" w14:textId="77777777" w:rsidR="005A68D7" w:rsidRPr="008734B9" w:rsidRDefault="005A68D7" w:rsidP="00455CF9">
            <w:pPr>
              <w:pStyle w:val="Sansinterligne"/>
              <w:spacing w:before="40" w:after="40"/>
              <w:ind w:left="171"/>
              <w:rPr>
                <w:i/>
                <w:sz w:val="22"/>
                <w:szCs w:val="22"/>
              </w:rPr>
            </w:pPr>
            <w:r>
              <w:rPr>
                <w:i/>
                <w:sz w:val="22"/>
                <w:szCs w:val="22"/>
              </w:rPr>
              <w:t>Les phrases font ressortir la démonstration interne à chacune des parties. Elles</w:t>
            </w:r>
            <w:r w:rsidRPr="008734B9">
              <w:rPr>
                <w:i/>
                <w:sz w:val="22"/>
                <w:szCs w:val="22"/>
              </w:rPr>
              <w:t xml:space="preserve"> sont reliées par des connecteurs logiques (autres qu’une </w:t>
            </w:r>
            <w:r>
              <w:rPr>
                <w:i/>
                <w:sz w:val="22"/>
                <w:szCs w:val="22"/>
              </w:rPr>
              <w:t>énumération scolaire</w:t>
            </w:r>
            <w:r w:rsidRPr="008734B9">
              <w:rPr>
                <w:i/>
                <w:sz w:val="22"/>
                <w:szCs w:val="22"/>
              </w:rPr>
              <w:t>), qui permettent de comprendre le fil argumentatif</w:t>
            </w:r>
            <w:r>
              <w:rPr>
                <w:i/>
                <w:sz w:val="22"/>
                <w:szCs w:val="22"/>
              </w:rPr>
              <w:t xml:space="preserve"> général</w:t>
            </w:r>
            <w:r w:rsidRPr="008734B9">
              <w:rPr>
                <w:i/>
                <w:sz w:val="22"/>
                <w:szCs w:val="22"/>
              </w:rPr>
              <w:t xml:space="preserve">. </w:t>
            </w:r>
          </w:p>
        </w:tc>
        <w:tc>
          <w:tcPr>
            <w:tcW w:w="426" w:type="dxa"/>
            <w:vAlign w:val="center"/>
          </w:tcPr>
          <w:p w14:paraId="5C45C815" w14:textId="77777777" w:rsidR="005A68D7" w:rsidRPr="008734B9" w:rsidRDefault="005A68D7" w:rsidP="00455CF9">
            <w:pPr>
              <w:pStyle w:val="Sansinterligne"/>
              <w:spacing w:before="40" w:after="40"/>
              <w:ind w:left="-10"/>
              <w:jc w:val="center"/>
              <w:rPr>
                <w:sz w:val="22"/>
                <w:szCs w:val="22"/>
              </w:rPr>
            </w:pPr>
            <w:r w:rsidRPr="008734B9">
              <w:rPr>
                <w:sz w:val="22"/>
                <w:szCs w:val="22"/>
              </w:rPr>
              <w:t>2</w:t>
            </w:r>
          </w:p>
        </w:tc>
      </w:tr>
    </w:tbl>
    <w:p w14:paraId="019EBCB9" w14:textId="77777777" w:rsidR="00F80591" w:rsidRDefault="00F80591" w:rsidP="00F80591">
      <w:pPr>
        <w:pStyle w:val="Titre1"/>
      </w:pPr>
      <w:r>
        <w:sym w:font="Wingdings" w:char="F031"/>
      </w:r>
      <w:r>
        <w:t xml:space="preserve"> Mobiliser un concept : le « genre » </w:t>
      </w:r>
    </w:p>
    <w:p w14:paraId="41BABCE1" w14:textId="77777777" w:rsidR="00F80591" w:rsidRPr="008A4715" w:rsidRDefault="00F80591" w:rsidP="00F80591">
      <w:pPr>
        <w:pStyle w:val="Biblio"/>
        <w:jc w:val="both"/>
        <w:rPr>
          <w:i/>
          <w:smallCaps w:val="0"/>
          <w:sz w:val="21"/>
        </w:rPr>
      </w:pPr>
      <w:r w:rsidRPr="008A4715">
        <w:rPr>
          <w:i/>
          <w:smallCaps w:val="0"/>
          <w:sz w:val="21"/>
        </w:rPr>
        <w:t>Le genre n’est pas une « théorie » idéologique mais un concept universitaire, né dans les sciences médicales (psychiatrie et chirurgie) des années 1950. Il est passé aux sciences humaines et sociales depuis les années 1970 et sert à étudier les différences entre les sexes et les attributs qui leur sont affectés dans les sociétés. Son histoire est racontée par Ilana Eloit</w:t>
      </w:r>
      <w:r w:rsidR="00106EBA">
        <w:rPr>
          <w:i/>
          <w:smallCaps w:val="0"/>
          <w:sz w:val="21"/>
        </w:rPr>
        <w:t xml:space="preserve">, professeure en études de genre à l’université de Genève, </w:t>
      </w:r>
      <w:r w:rsidRPr="008A4715">
        <w:rPr>
          <w:i/>
          <w:smallCaps w:val="0"/>
          <w:sz w:val="21"/>
        </w:rPr>
        <w:t xml:space="preserve">dans un ouvrage récent sur les concepts employés par les chercheuses et chercheurs pour catégoriser les différences sociales. </w:t>
      </w:r>
    </w:p>
    <w:p w14:paraId="33ECDC02" w14:textId="77777777" w:rsidR="00F80591" w:rsidRPr="00F80591" w:rsidRDefault="00F80591" w:rsidP="00F80591">
      <w:pPr>
        <w:pStyle w:val="Biblio"/>
        <w:ind w:left="142"/>
        <w:rPr>
          <w:rFonts w:eastAsia="Times New Roman"/>
          <w:smallCaps w:val="0"/>
          <w:lang w:eastAsia="fr-FR"/>
        </w:rPr>
      </w:pPr>
      <w:r>
        <w:t>Eloit</w:t>
      </w:r>
      <w:r w:rsidRPr="00E11415">
        <w:t xml:space="preserve">, </w:t>
      </w:r>
      <w:r>
        <w:rPr>
          <w:smallCaps w:val="0"/>
        </w:rPr>
        <w:t>Ilana</w:t>
      </w:r>
      <w:r w:rsidRPr="002151F8">
        <w:rPr>
          <w:smallCaps w:val="0"/>
        </w:rPr>
        <w:t xml:space="preserve">, « </w:t>
      </w:r>
      <w:r>
        <w:rPr>
          <w:rFonts w:eastAsia="Times New Roman"/>
          <w:smallCaps w:val="0"/>
          <w:lang w:eastAsia="fr-FR"/>
        </w:rPr>
        <w:t>Genre</w:t>
      </w:r>
      <w:r w:rsidRPr="002151F8">
        <w:rPr>
          <w:rFonts w:eastAsia="Times New Roman"/>
          <w:smallCaps w:val="0"/>
          <w:lang w:eastAsia="fr-FR"/>
        </w:rPr>
        <w:t xml:space="preserve"> », </w:t>
      </w:r>
      <w:r>
        <w:rPr>
          <w:rFonts w:eastAsia="Times New Roman"/>
          <w:iCs/>
          <w:smallCaps w:val="0"/>
          <w:lang w:eastAsia="fr-FR"/>
        </w:rPr>
        <w:t xml:space="preserve">dans Estelle </w:t>
      </w:r>
      <w:proofErr w:type="spellStart"/>
      <w:r>
        <w:rPr>
          <w:rFonts w:eastAsia="Times New Roman"/>
          <w:iCs/>
          <w:lang w:eastAsia="fr-FR"/>
        </w:rPr>
        <w:t>Fisson</w:t>
      </w:r>
      <w:proofErr w:type="spellEnd"/>
      <w:r>
        <w:rPr>
          <w:rFonts w:eastAsia="Times New Roman"/>
          <w:iCs/>
          <w:smallCaps w:val="0"/>
          <w:lang w:eastAsia="fr-FR"/>
        </w:rPr>
        <w:t xml:space="preserve"> </w:t>
      </w:r>
      <w:r>
        <w:rPr>
          <w:rFonts w:eastAsia="Times New Roman"/>
          <w:i/>
          <w:iCs/>
          <w:smallCaps w:val="0"/>
          <w:lang w:eastAsia="fr-FR"/>
        </w:rPr>
        <w:t xml:space="preserve">et al. </w:t>
      </w:r>
      <w:r>
        <w:rPr>
          <w:rFonts w:eastAsia="Times New Roman"/>
          <w:iCs/>
          <w:smallCaps w:val="0"/>
          <w:lang w:eastAsia="fr-FR"/>
        </w:rPr>
        <w:t>(</w:t>
      </w:r>
      <w:proofErr w:type="gramStart"/>
      <w:r>
        <w:rPr>
          <w:rFonts w:eastAsia="Times New Roman"/>
          <w:iCs/>
          <w:smallCaps w:val="0"/>
          <w:lang w:eastAsia="fr-FR"/>
        </w:rPr>
        <w:t>dir.</w:t>
      </w:r>
      <w:proofErr w:type="gramEnd"/>
      <w:r>
        <w:rPr>
          <w:rFonts w:eastAsia="Times New Roman"/>
          <w:iCs/>
          <w:smallCaps w:val="0"/>
          <w:lang w:eastAsia="fr-FR"/>
        </w:rPr>
        <w:t xml:space="preserve">), </w:t>
      </w:r>
      <w:r>
        <w:rPr>
          <w:rFonts w:eastAsia="Times New Roman"/>
          <w:i/>
          <w:iCs/>
          <w:smallCaps w:val="0"/>
          <w:lang w:eastAsia="fr-FR"/>
        </w:rPr>
        <w:t xml:space="preserve">Catégoriser. </w:t>
      </w:r>
      <w:r>
        <w:rPr>
          <w:rFonts w:eastAsia="Times New Roman"/>
          <w:i/>
          <w:iCs/>
          <w:smallCaps w:val="0"/>
          <w:lang w:eastAsia="fr-FR"/>
        </w:rPr>
        <w:br/>
        <w:t xml:space="preserve">   Lexique de la construction sociale des différences</w:t>
      </w:r>
      <w:r>
        <w:rPr>
          <w:rFonts w:eastAsia="Times New Roman"/>
          <w:iCs/>
          <w:smallCaps w:val="0"/>
          <w:lang w:eastAsia="fr-FR"/>
        </w:rPr>
        <w:t xml:space="preserve">, Lyon, ENS Éditions, 2024, p. 305-320 </w:t>
      </w:r>
      <w:r w:rsidRPr="0046641F">
        <w:rPr>
          <w:rFonts w:ascii="Times New Roman" w:eastAsia="Times New Roman" w:hAnsi="Times New Roman" w:cs="Times New Roman"/>
          <w:iCs/>
          <w:smallCaps w:val="0"/>
          <w:color w:val="000000" w:themeColor="text1"/>
          <w:lang w:eastAsia="fr-FR"/>
        </w:rPr>
        <w:t>[</w:t>
      </w:r>
      <w:hyperlink r:id="rId24" w:history="1">
        <w:r w:rsidRPr="0046641F">
          <w:rPr>
            <w:rStyle w:val="Lienhypertexte"/>
            <w:rFonts w:eastAsia="Times New Roman"/>
            <w:iCs/>
            <w:smallCaps w:val="0"/>
            <w:color w:val="000000" w:themeColor="text1"/>
            <w:lang w:eastAsia="fr-FR"/>
          </w:rPr>
          <w:t>En ligne</w:t>
        </w:r>
      </w:hyperlink>
      <w:r>
        <w:rPr>
          <w:rFonts w:ascii="Times New Roman" w:eastAsia="Times New Roman" w:hAnsi="Times New Roman" w:cs="Times New Roman"/>
          <w:iCs/>
          <w:smallCaps w:val="0"/>
          <w:lang w:eastAsia="fr-FR"/>
        </w:rPr>
        <w:t>]</w:t>
      </w:r>
      <w:r w:rsidRPr="002151F8">
        <w:rPr>
          <w:rFonts w:eastAsia="Times New Roman"/>
          <w:smallCaps w:val="0"/>
          <w:lang w:eastAsia="fr-FR"/>
        </w:rPr>
        <w:t xml:space="preserve">. </w:t>
      </w:r>
    </w:p>
    <w:p w14:paraId="20C0F69F" w14:textId="77777777" w:rsidR="00C651D6" w:rsidRDefault="0000002D" w:rsidP="002151F8">
      <w:pPr>
        <w:pStyle w:val="Titre1"/>
      </w:pPr>
      <w:r>
        <w:sym w:font="Wingdings" w:char="F025"/>
      </w:r>
      <w:r w:rsidR="00C651D6" w:rsidRPr="001876DF">
        <w:t xml:space="preserve"> L’actualité de la recherche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513"/>
        <w:gridCol w:w="1775"/>
      </w:tblGrid>
      <w:tr w:rsidR="002151F8" w14:paraId="1AB7E482" w14:textId="77777777" w:rsidTr="003721B8">
        <w:tc>
          <w:tcPr>
            <w:tcW w:w="9288" w:type="dxa"/>
            <w:gridSpan w:val="2"/>
            <w:vAlign w:val="center"/>
          </w:tcPr>
          <w:p w14:paraId="25C1E697" w14:textId="77777777" w:rsidR="002151F8" w:rsidRPr="002151F8" w:rsidRDefault="002151F8" w:rsidP="0041082C">
            <w:pPr>
              <w:pStyle w:val="Biblio"/>
              <w:spacing w:before="0"/>
            </w:pPr>
            <w:r w:rsidRPr="0069039E">
              <w:rPr>
                <w:smallCaps w:val="0"/>
              </w:rPr>
              <w:t>Laura</w:t>
            </w:r>
            <w:r w:rsidRPr="002151F8">
              <w:t xml:space="preserve"> </w:t>
            </w:r>
            <w:proofErr w:type="spellStart"/>
            <w:r w:rsidRPr="002151F8">
              <w:t>Tatoueix</w:t>
            </w:r>
            <w:proofErr w:type="spellEnd"/>
            <w:r w:rsidRPr="002151F8">
              <w:t xml:space="preserve">, </w:t>
            </w:r>
            <w:r w:rsidRPr="0041082C">
              <w:rPr>
                <w:i/>
                <w:smallCaps w:val="0"/>
              </w:rPr>
              <w:t>Défaire son fruit : une histoire sociale de l’avortement en France à l’époque moderne</w:t>
            </w:r>
            <w:r w:rsidRPr="0041082C">
              <w:rPr>
                <w:smallCaps w:val="0"/>
              </w:rPr>
              <w:t xml:space="preserve">, </w:t>
            </w:r>
            <w:r w:rsidRPr="0041082C">
              <w:rPr>
                <w:smallCaps w:val="0"/>
              </w:rPr>
              <w:br/>
              <w:t xml:space="preserve">  Paris, </w:t>
            </w:r>
            <w:r w:rsidR="00360A60">
              <w:rPr>
                <w:smallCaps w:val="0"/>
              </w:rPr>
              <w:t>É</w:t>
            </w:r>
            <w:r w:rsidRPr="0041082C">
              <w:rPr>
                <w:smallCaps w:val="0"/>
              </w:rPr>
              <w:t xml:space="preserve">ditions de l’EHESS, 2024. </w:t>
            </w:r>
          </w:p>
        </w:tc>
      </w:tr>
      <w:tr w:rsidR="0033694D" w14:paraId="19DCAECC" w14:textId="77777777" w:rsidTr="003721B8">
        <w:tc>
          <w:tcPr>
            <w:tcW w:w="7513" w:type="dxa"/>
          </w:tcPr>
          <w:p w14:paraId="1BC604CE" w14:textId="77777777" w:rsidR="00647699" w:rsidRPr="00154432" w:rsidRDefault="00B410D3" w:rsidP="002151F8">
            <w:pPr>
              <w:pStyle w:val="Sansinterligne"/>
              <w:ind w:left="177"/>
              <w:jc w:val="both"/>
              <w:rPr>
                <w:i/>
                <w:sz w:val="21"/>
                <w:szCs w:val="20"/>
              </w:rPr>
            </w:pPr>
            <w:r w:rsidRPr="00154432">
              <w:rPr>
                <w:i/>
                <w:sz w:val="21"/>
                <w:szCs w:val="20"/>
              </w:rPr>
              <w:t xml:space="preserve">Dans ce livre, Laura </w:t>
            </w:r>
            <w:proofErr w:type="spellStart"/>
            <w:r w:rsidRPr="00154432">
              <w:rPr>
                <w:i/>
                <w:sz w:val="21"/>
                <w:szCs w:val="20"/>
              </w:rPr>
              <w:t>Tatoueix</w:t>
            </w:r>
            <w:proofErr w:type="spellEnd"/>
            <w:r w:rsidRPr="00154432">
              <w:rPr>
                <w:i/>
                <w:sz w:val="21"/>
                <w:szCs w:val="20"/>
              </w:rPr>
              <w:t xml:space="preserve"> fait l’histoire d’une pratique dissimulée, tant et si bien qu’elle a longtemps été décrite comme inexistante dans les sociétés d’Ancien régime. L’avortement est à l’époque moderne une pratique innommable, mais aussi relativement tolérée, parce qu’elle permet de contrôler les naissances hors-mariages, particulièrement condamnées. En France, les lois sur les grossesses hors mariages datent du règne d’Henri II (1547-1559), qui les oblige à déclarer leur grossesse </w:t>
            </w:r>
            <w:r w:rsidR="00F731B3" w:rsidRPr="00154432">
              <w:rPr>
                <w:i/>
                <w:sz w:val="21"/>
                <w:szCs w:val="20"/>
              </w:rPr>
              <w:t xml:space="preserve">et </w:t>
            </w:r>
            <w:r w:rsidRPr="00154432">
              <w:rPr>
                <w:i/>
                <w:sz w:val="21"/>
                <w:szCs w:val="20"/>
              </w:rPr>
              <w:t>qui criminalise l’infanticide</w:t>
            </w:r>
            <w:r w:rsidR="004B751F" w:rsidRPr="00154432">
              <w:rPr>
                <w:i/>
                <w:sz w:val="21"/>
                <w:szCs w:val="20"/>
              </w:rPr>
              <w:t>, que l’enfant naisse à terme ou non</w:t>
            </w:r>
            <w:r w:rsidR="0033694D" w:rsidRPr="00154432">
              <w:rPr>
                <w:i/>
                <w:sz w:val="21"/>
                <w:szCs w:val="20"/>
              </w:rPr>
              <w:t xml:space="preserve">. Si les édits d’Henri II prévoient la peine de mort pour ces femmes, dans les faits les tribunaux ne peuvent pas réunir les preuves nécessaires à ces condamnations. Laura </w:t>
            </w:r>
            <w:proofErr w:type="spellStart"/>
            <w:r w:rsidR="0033694D" w:rsidRPr="00154432">
              <w:rPr>
                <w:i/>
                <w:sz w:val="21"/>
                <w:szCs w:val="20"/>
              </w:rPr>
              <w:t>Tatoueix</w:t>
            </w:r>
            <w:proofErr w:type="spellEnd"/>
            <w:r w:rsidR="0033694D" w:rsidRPr="00154432">
              <w:rPr>
                <w:i/>
                <w:sz w:val="21"/>
                <w:szCs w:val="20"/>
              </w:rPr>
              <w:t xml:space="preserve"> montre que cette législation est </w:t>
            </w:r>
            <w:r w:rsidR="00F60D5D" w:rsidRPr="00154432">
              <w:rPr>
                <w:i/>
                <w:sz w:val="21"/>
                <w:szCs w:val="20"/>
              </w:rPr>
              <w:t>repensée</w:t>
            </w:r>
            <w:r w:rsidR="0033694D" w:rsidRPr="00154432">
              <w:rPr>
                <w:i/>
                <w:sz w:val="21"/>
                <w:szCs w:val="20"/>
              </w:rPr>
              <w:t xml:space="preserve"> au </w:t>
            </w:r>
            <w:proofErr w:type="spellStart"/>
            <w:r w:rsidR="0033694D" w:rsidRPr="00154432">
              <w:rPr>
                <w:i/>
                <w:smallCaps/>
                <w:sz w:val="21"/>
                <w:szCs w:val="20"/>
              </w:rPr>
              <w:t>xviii</w:t>
            </w:r>
            <w:r w:rsidR="0033694D" w:rsidRPr="00154432">
              <w:rPr>
                <w:i/>
                <w:sz w:val="21"/>
                <w:szCs w:val="20"/>
                <w:vertAlign w:val="superscript"/>
              </w:rPr>
              <w:t>e</w:t>
            </w:r>
            <w:proofErr w:type="spellEnd"/>
            <w:r w:rsidR="0033694D" w:rsidRPr="00154432">
              <w:rPr>
                <w:i/>
                <w:sz w:val="21"/>
                <w:szCs w:val="20"/>
              </w:rPr>
              <w:t xml:space="preserve"> siècle, dans un contexte de réduction des droits des femmes d’une part, de réflexion médico-légale sur l’accouchement et la petite-enfance, de l’autre. Les sources, rares, montrent que si l’accouchement est une pratique commune à toutes les couches de la société, sa judiciarisation, elle, est presque toujours ciblée contre des femmes issues des milieux populaires.</w:t>
            </w:r>
          </w:p>
        </w:tc>
        <w:tc>
          <w:tcPr>
            <w:tcW w:w="1775" w:type="dxa"/>
          </w:tcPr>
          <w:p w14:paraId="16B30172" w14:textId="77777777" w:rsidR="002151F8" w:rsidRDefault="002151F8" w:rsidP="009C5CE4">
            <w:pPr>
              <w:ind w:firstLine="311"/>
            </w:pPr>
            <w:r>
              <w:rPr>
                <w:noProof/>
              </w:rPr>
              <w:drawing>
                <wp:inline distT="0" distB="0" distL="0" distR="0" wp14:anchorId="0CFA906C" wp14:editId="038332F0">
                  <wp:extent cx="852097" cy="844981"/>
                  <wp:effectExtent l="0" t="0" r="0" b="0"/>
                  <wp:docPr id="2" name="Image 2">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hlinkClick r:id="rId25"/>
                          </pic:cNvPr>
                          <pic:cNvPicPr/>
                        </pic:nvPicPr>
                        <pic:blipFill rotWithShape="1">
                          <a:blip r:embed="rId26" cstate="print">
                            <a:extLst>
                              <a:ext uri="{28A0092B-C50C-407E-A947-70E740481C1C}">
                                <a14:useLocalDpi xmlns:a14="http://schemas.microsoft.com/office/drawing/2010/main" val="0"/>
                              </a:ext>
                            </a:extLst>
                          </a:blip>
                          <a:srcRect l="2743" t="3527" r="3389" b="3389"/>
                          <a:stretch/>
                        </pic:blipFill>
                        <pic:spPr bwMode="auto">
                          <a:xfrm>
                            <a:off x="0" y="0"/>
                            <a:ext cx="881870" cy="874505"/>
                          </a:xfrm>
                          <a:prstGeom prst="rect">
                            <a:avLst/>
                          </a:prstGeom>
                          <a:ln>
                            <a:noFill/>
                          </a:ln>
                          <a:extLst>
                            <a:ext uri="{53640926-AAD7-44D8-BBD7-CCE9431645EC}">
                              <a14:shadowObscured xmlns:a14="http://schemas.microsoft.com/office/drawing/2010/main"/>
                            </a:ext>
                          </a:extLst>
                        </pic:spPr>
                      </pic:pic>
                    </a:graphicData>
                  </a:graphic>
                </wp:inline>
              </w:drawing>
            </w:r>
          </w:p>
          <w:p w14:paraId="6C4B2523" w14:textId="77777777" w:rsidR="00C651D6" w:rsidRDefault="002151F8" w:rsidP="002151F8">
            <w:pPr>
              <w:pStyle w:val="Sansinterligne"/>
              <w:jc w:val="right"/>
            </w:pPr>
            <w:r w:rsidRPr="0033694D">
              <w:sym w:font="Wingdings" w:char="F0E1"/>
            </w:r>
            <w:r>
              <w:t xml:space="preserve">  </w:t>
            </w:r>
            <w:r w:rsidRPr="0069039E">
              <w:rPr>
                <w:i/>
              </w:rPr>
              <w:t xml:space="preserve">La recension </w:t>
            </w:r>
            <w:r w:rsidRPr="0069039E">
              <w:rPr>
                <w:i/>
              </w:rPr>
              <w:br/>
              <w:t xml:space="preserve">de Déborah </w:t>
            </w:r>
            <w:r w:rsidRPr="0069039E">
              <w:rPr>
                <w:i/>
                <w:smallCaps/>
              </w:rPr>
              <w:t>Cohen</w:t>
            </w:r>
            <w:r w:rsidRPr="0069039E">
              <w:rPr>
                <w:i/>
              </w:rPr>
              <w:t xml:space="preserve">, maîtresse de conférences </w:t>
            </w:r>
            <w:r w:rsidR="0069039E">
              <w:rPr>
                <w:i/>
              </w:rPr>
              <w:br/>
            </w:r>
            <w:r w:rsidRPr="0069039E">
              <w:rPr>
                <w:i/>
              </w:rPr>
              <w:t>en histoire moderne</w:t>
            </w:r>
            <w:r>
              <w:t>.</w:t>
            </w:r>
          </w:p>
        </w:tc>
      </w:tr>
    </w:tbl>
    <w:p w14:paraId="422A7DFC" w14:textId="77777777" w:rsidR="00647699" w:rsidRDefault="00647699" w:rsidP="00620E44">
      <w:pPr>
        <w:sectPr w:rsidR="00647699" w:rsidSect="00A77E43">
          <w:type w:val="oddPage"/>
          <w:pgSz w:w="11906" w:h="16838"/>
          <w:pgMar w:top="964" w:right="1304" w:bottom="990" w:left="1304" w:header="709" w:footer="709" w:gutter="0"/>
          <w:cols w:space="708"/>
          <w:docGrid w:linePitch="360"/>
        </w:sectPr>
      </w:pPr>
    </w:p>
    <w:p w14:paraId="732FF706" w14:textId="77777777" w:rsidR="00A77E43" w:rsidRDefault="00A77E43" w:rsidP="00C80D6C">
      <w:pPr>
        <w:pStyle w:val="Titre"/>
        <w:spacing w:after="240"/>
        <w:sectPr w:rsidR="00A77E43" w:rsidSect="00196846">
          <w:type w:val="evenPage"/>
          <w:pgSz w:w="11906" w:h="16838"/>
          <w:pgMar w:top="964" w:right="1304" w:bottom="906" w:left="1304" w:header="709" w:footer="709" w:gutter="0"/>
          <w:cols w:space="708"/>
          <w:docGrid w:linePitch="360"/>
        </w:sectPr>
      </w:pPr>
      <w:bookmarkStart w:id="6" w:name="_Toc185425566"/>
    </w:p>
    <w:p w14:paraId="12249027" w14:textId="77777777" w:rsidR="009978D1" w:rsidRDefault="00647699" w:rsidP="00C80D6C">
      <w:pPr>
        <w:pStyle w:val="Titre"/>
        <w:spacing w:after="240"/>
      </w:pPr>
      <w:r w:rsidRPr="009D6DD9">
        <w:lastRenderedPageBreak/>
        <w:t xml:space="preserve">Séance </w:t>
      </w:r>
      <w:r>
        <w:t>3</w:t>
      </w:r>
      <w:r w:rsidR="005202A6">
        <w:t>-2</w:t>
      </w:r>
      <w:r w:rsidRPr="009D6DD9">
        <w:br/>
      </w:r>
      <w:r w:rsidRPr="0069039E">
        <w:rPr>
          <w:b/>
        </w:rPr>
        <w:t>Écrire une introduction de commentaire</w:t>
      </w:r>
      <w:bookmarkEnd w:id="6"/>
      <w:r>
        <w:t xml:space="preserve"> </w:t>
      </w:r>
      <w:r w:rsidRPr="009D6DD9">
        <w:t xml:space="preserve"> </w:t>
      </w:r>
    </w:p>
    <w:p w14:paraId="1FBADC18" w14:textId="77777777" w:rsidR="00647699" w:rsidRPr="001876DF" w:rsidRDefault="00647699" w:rsidP="00ED597C">
      <w:pPr>
        <w:pStyle w:val="Titre1"/>
        <w:spacing w:before="0"/>
      </w:pPr>
      <w:r w:rsidRPr="001876DF">
        <w:t xml:space="preserve">Document 1. </w:t>
      </w:r>
      <w:r w:rsidR="005A69CD">
        <w:t xml:space="preserve">Procès d’une femme condamnée à mort en </w:t>
      </w:r>
      <w:r w:rsidR="00762BF3">
        <w:t>Moselle</w:t>
      </w:r>
      <w:r w:rsidR="005A69CD">
        <w:t xml:space="preserve"> (1615)</w:t>
      </w:r>
    </w:p>
    <w:p w14:paraId="5E9A59D6" w14:textId="77777777" w:rsidR="005A69CD" w:rsidRDefault="005A69CD" w:rsidP="00620E44">
      <w:r>
        <w:t xml:space="preserve">Du premier octobre 1615 au lieu de </w:t>
      </w:r>
      <w:proofErr w:type="spellStart"/>
      <w:r>
        <w:t>Docelle</w:t>
      </w:r>
      <w:proofErr w:type="spellEnd"/>
      <w:r>
        <w:t xml:space="preserve">. Informations faites par nous, George </w:t>
      </w:r>
      <w:proofErr w:type="spellStart"/>
      <w:r>
        <w:t>Milot</w:t>
      </w:r>
      <w:proofErr w:type="spellEnd"/>
      <w:r>
        <w:t xml:space="preserve">, prévôt de Bruyères, à l’encontre de </w:t>
      </w:r>
      <w:proofErr w:type="spellStart"/>
      <w:r>
        <w:t>Fleuratte</w:t>
      </w:r>
      <w:proofErr w:type="spellEnd"/>
      <w:r>
        <w:t xml:space="preserve">, femme à Jean Maurice de </w:t>
      </w:r>
      <w:proofErr w:type="spellStart"/>
      <w:r>
        <w:t>Docelle</w:t>
      </w:r>
      <w:proofErr w:type="spellEnd"/>
      <w:r>
        <w:t xml:space="preserve">, accusée de sortilège, à l’effet de quoi avons fait ajournés plusieurs témoins. Lesquels étant ce jourd’hui et le suivant comparus par devant nous, les aurions </w:t>
      </w:r>
      <w:r>
        <w:rPr>
          <w:rFonts w:ascii="Times New Roman" w:hAnsi="Times New Roman" w:cs="Times New Roman"/>
        </w:rPr>
        <w:t>[</w:t>
      </w:r>
      <w:r>
        <w:t>...</w:t>
      </w:r>
      <w:r>
        <w:rPr>
          <w:rFonts w:ascii="Times New Roman" w:hAnsi="Times New Roman" w:cs="Times New Roman"/>
        </w:rPr>
        <w:t>]</w:t>
      </w:r>
      <w:r>
        <w:t xml:space="preserve"> bien particulièrement et exactement interrogés </w:t>
      </w:r>
      <w:r>
        <w:rPr>
          <w:rFonts w:ascii="Times New Roman" w:hAnsi="Times New Roman" w:cs="Times New Roman"/>
        </w:rPr>
        <w:t>[</w:t>
      </w:r>
      <w:r>
        <w:t>...</w:t>
      </w:r>
      <w:r>
        <w:rPr>
          <w:rFonts w:ascii="Times New Roman" w:hAnsi="Times New Roman" w:cs="Times New Roman"/>
        </w:rPr>
        <w:t>]</w:t>
      </w:r>
      <w:r>
        <w:t xml:space="preserve"> et leurs dépositions fait rédiger en écrit par Jean Grand Didier, clerc juré ordinaire, ainsi que ci-après</w:t>
      </w:r>
      <w:r w:rsidR="00647699" w:rsidRPr="001876DF">
        <w:t>.</w:t>
      </w:r>
    </w:p>
    <w:p w14:paraId="62754DC4" w14:textId="77777777" w:rsidR="00E143A2" w:rsidRDefault="005A69CD" w:rsidP="00620E44">
      <w:r>
        <w:t xml:space="preserve">Judith, femme à Nicolas Huguenin de </w:t>
      </w:r>
      <w:proofErr w:type="spellStart"/>
      <w:r>
        <w:t>Docelle</w:t>
      </w:r>
      <w:proofErr w:type="spellEnd"/>
      <w:r>
        <w:t xml:space="preserve">, âgée de quelques quarante ans, ajournée, adjurée et enquise, a déposé que sont environ douze ans, </w:t>
      </w:r>
      <w:proofErr w:type="spellStart"/>
      <w:r>
        <w:t>Fleuratte</w:t>
      </w:r>
      <w:proofErr w:type="spellEnd"/>
      <w:r>
        <w:t xml:space="preserve">, femme de Jean Maurice dudit lieu, étant </w:t>
      </w:r>
      <w:proofErr w:type="spellStart"/>
      <w:r>
        <w:t>ja</w:t>
      </w:r>
      <w:proofErr w:type="spellEnd"/>
      <w:r>
        <w:t xml:space="preserve"> lors</w:t>
      </w:r>
      <w:r>
        <w:rPr>
          <w:rStyle w:val="Appelnotedebasdep"/>
        </w:rPr>
        <w:footnoteReference w:id="1"/>
      </w:r>
      <w:r>
        <w:t xml:space="preserve"> soupçonnée de sortilège, l’alla trouver par un dimanche et lui demanda des semences de poireaux, de quoi s’étant excusée par remontrance qu’elle n’en avait que pour son </w:t>
      </w:r>
      <w:proofErr w:type="spellStart"/>
      <w:r>
        <w:t>defruit</w:t>
      </w:r>
      <w:proofErr w:type="spellEnd"/>
      <w:r>
        <w:rPr>
          <w:rStyle w:val="Appelnotedebasdep"/>
        </w:rPr>
        <w:footnoteReference w:id="2"/>
      </w:r>
      <w:r>
        <w:t xml:space="preserve">. </w:t>
      </w:r>
      <w:r w:rsidR="00E143A2">
        <w:t>Retournant un jour de la même semaine d’ouïr messe, elle fut inopinément rencontrée et accostée d’elle qui lui dit et proposa quelque chose, ne sait quoi, et que si tôt son arrivée au logis, elle sentit une grande douleur d’estomac, pour laquelle apaiser, elle prit une bouillie qu’on paissait pour un sien enfant et pris du vin. Mais qu’en lieu d’en être allégée, alors elle sentit que les douleur</w:t>
      </w:r>
      <w:r w:rsidR="0083365A">
        <w:t>s</w:t>
      </w:r>
      <w:r w:rsidR="00E143A2">
        <w:t xml:space="preserve"> s’augmentaient, et fut si malade que plusieurs opinaient qu’elle en aurait la mort. Que s’étant doutée, et son mari aussi, qu’à cause du refus des dites semences, ladite </w:t>
      </w:r>
      <w:proofErr w:type="spellStart"/>
      <w:r w:rsidR="00E143A2">
        <w:t>Fleuratte</w:t>
      </w:r>
      <w:proofErr w:type="spellEnd"/>
      <w:r w:rsidR="00E143A2">
        <w:t xml:space="preserve"> lui pourrait avoir donné ce mal, elle l’alla trouver en son logis et lui porta pour prétexte des dites semences. </w:t>
      </w:r>
      <w:r w:rsidR="00196846">
        <w:t xml:space="preserve"> </w:t>
      </w:r>
      <w:r w:rsidR="00196846">
        <w:rPr>
          <w:rFonts w:ascii="Times New Roman" w:hAnsi="Times New Roman" w:cs="Times New Roman"/>
        </w:rPr>
        <w:t>[</w:t>
      </w:r>
      <w:r w:rsidR="00196846">
        <w:t>...</w:t>
      </w:r>
      <w:r w:rsidR="00196846">
        <w:rPr>
          <w:rFonts w:ascii="Times New Roman" w:hAnsi="Times New Roman" w:cs="Times New Roman"/>
        </w:rPr>
        <w:t>]</w:t>
      </w:r>
      <w:r w:rsidR="00196846">
        <w:t xml:space="preserve"> E</w:t>
      </w:r>
      <w:r w:rsidR="00E143A2">
        <w:t>lle lui dit de s’asseoir près d’elle, ce qu’ayant fait, elle commença tout bas à marmotter quelques mots qu’elle disait être une certaine prière, et à l’instant faisait le signe de la croix à terre et au</w:t>
      </w:r>
      <w:r w:rsidR="0083365A">
        <w:t>-</w:t>
      </w:r>
      <w:r w:rsidR="00E143A2">
        <w:t xml:space="preserve">devant d’elle qui parle, même lui souffla à plusieurs fois la bouche et ce pendant lui allégua qu’elle étant prise de l’air, lui enjoignant en outre pour en être entièrement guérie de passer par trois fois sous le lien ou </w:t>
      </w:r>
      <w:proofErr w:type="spellStart"/>
      <w:r w:rsidR="00E143A2" w:rsidRPr="0083365A">
        <w:rPr>
          <w:i/>
        </w:rPr>
        <w:t>chenole</w:t>
      </w:r>
      <w:proofErr w:type="spellEnd"/>
      <w:r w:rsidR="00E143A2">
        <w:t xml:space="preserve">, ainsi vulgairement appelée, d’une de leur vache, en tournant alentour des </w:t>
      </w:r>
      <w:proofErr w:type="spellStart"/>
      <w:r w:rsidR="00E143A2">
        <w:t>baraussons</w:t>
      </w:r>
      <w:proofErr w:type="spellEnd"/>
      <w:r w:rsidR="00E143A2">
        <w:t xml:space="preserve"> et à chaque fois dire un Pater Noster et un Ave Maria. Que s’en étant retournée au logis et voulant pratiquer ce prétendu dernier remède, s’y étant retrouvée empêchée, elle la fut quérir pour lui en montrer la forme ; laquelle lui enseigna et que quelques peu de jours après, la vache que d’ordinaire on y liait mourut et elle, guérit </w:t>
      </w:r>
      <w:r w:rsidR="00E143A2">
        <w:rPr>
          <w:rFonts w:ascii="Times New Roman" w:hAnsi="Times New Roman" w:cs="Times New Roman"/>
        </w:rPr>
        <w:t>[</w:t>
      </w:r>
      <w:r w:rsidR="00E143A2">
        <w:t>...</w:t>
      </w:r>
      <w:r w:rsidR="00E143A2">
        <w:rPr>
          <w:rFonts w:ascii="Times New Roman" w:hAnsi="Times New Roman" w:cs="Times New Roman"/>
        </w:rPr>
        <w:t>]</w:t>
      </w:r>
      <w:r w:rsidR="00E143A2">
        <w:t xml:space="preserve">. </w:t>
      </w:r>
    </w:p>
    <w:p w14:paraId="49354F0A" w14:textId="77777777" w:rsidR="0069039E" w:rsidRDefault="0069039E" w:rsidP="00620E44">
      <w:r>
        <w:t xml:space="preserve">Interrogatoire </w:t>
      </w:r>
      <w:r>
        <w:rPr>
          <w:rFonts w:ascii="Times New Roman" w:hAnsi="Times New Roman" w:cs="Times New Roman"/>
        </w:rPr>
        <w:t>[</w:t>
      </w:r>
      <w:r>
        <w:t>...</w:t>
      </w:r>
      <w:r>
        <w:rPr>
          <w:rFonts w:ascii="Times New Roman" w:hAnsi="Times New Roman" w:cs="Times New Roman"/>
        </w:rPr>
        <w:t>]</w:t>
      </w:r>
      <w:r>
        <w:t xml:space="preserve"> du 9</w:t>
      </w:r>
      <w:r w:rsidRPr="0069039E">
        <w:rPr>
          <w:vertAlign w:val="superscript"/>
        </w:rPr>
        <w:t>e</w:t>
      </w:r>
      <w:r>
        <w:t xml:space="preserve"> du dit octobre </w:t>
      </w:r>
      <w:r>
        <w:rPr>
          <w:rFonts w:ascii="Times New Roman" w:hAnsi="Times New Roman" w:cs="Times New Roman"/>
        </w:rPr>
        <w:t>[</w:t>
      </w:r>
      <w:r>
        <w:t>...</w:t>
      </w:r>
      <w:r>
        <w:rPr>
          <w:rFonts w:ascii="Times New Roman" w:hAnsi="Times New Roman" w:cs="Times New Roman"/>
        </w:rPr>
        <w:t>]</w:t>
      </w:r>
      <w:r>
        <w:t xml:space="preserve">. Contrition, déclaré et </w:t>
      </w:r>
      <w:proofErr w:type="spellStart"/>
      <w:r>
        <w:t>confesé</w:t>
      </w:r>
      <w:proofErr w:type="spellEnd"/>
      <w:r>
        <w:t xml:space="preserve"> qu’elle est sorcière depuis environ quatorze ans qu’elle est mariée au village de </w:t>
      </w:r>
      <w:proofErr w:type="spellStart"/>
      <w:r>
        <w:t>Docelle</w:t>
      </w:r>
      <w:proofErr w:type="spellEnd"/>
      <w:r>
        <w:t>, non de plus longtemps, bien qu’auparavant l’</w:t>
      </w:r>
      <w:r w:rsidR="006C2BC1">
        <w:t>E</w:t>
      </w:r>
      <w:r>
        <w:t xml:space="preserve">nnemi l’eut poursuivi une fois seulement de se rendre telle. </w:t>
      </w:r>
    </w:p>
    <w:p w14:paraId="1D260F9F" w14:textId="77777777" w:rsidR="00647699" w:rsidRDefault="0069039E" w:rsidP="00620E44">
      <w:pPr>
        <w:rPr>
          <w:rFonts w:cs="Times New Roman"/>
        </w:rPr>
      </w:pPr>
      <w:r w:rsidRPr="0083365A">
        <w:t xml:space="preserve">Que la fois qu’elle se donna à </w:t>
      </w:r>
      <w:r w:rsidR="00501756">
        <w:t>L</w:t>
      </w:r>
      <w:r w:rsidRPr="0083365A">
        <w:t xml:space="preserve">ui, fut en s’en allant au bois avant jour </w:t>
      </w:r>
      <w:r w:rsidRPr="0083365A">
        <w:rPr>
          <w:rFonts w:cs="Times New Roman"/>
        </w:rPr>
        <w:t>[</w:t>
      </w:r>
      <w:r w:rsidRPr="0083365A">
        <w:t>...</w:t>
      </w:r>
      <w:r w:rsidRPr="0083365A">
        <w:rPr>
          <w:rFonts w:cs="Times New Roman"/>
        </w:rPr>
        <w:t>]</w:t>
      </w:r>
      <w:r w:rsidRPr="0083365A">
        <w:t xml:space="preserve"> lequel en lui disant </w:t>
      </w:r>
      <w:r w:rsidRPr="0083365A">
        <w:rPr>
          <w:rFonts w:cs="Times New Roman"/>
        </w:rPr>
        <w:t>[...] qu’elle écorcherait un bot (à</w:t>
      </w:r>
      <w:r w:rsidR="0083365A" w:rsidRPr="0083365A">
        <w:rPr>
          <w:rFonts w:cs="Times New Roman"/>
        </w:rPr>
        <w:t xml:space="preserve"> correction</w:t>
      </w:r>
      <w:r w:rsidR="0083365A" w:rsidRPr="0083365A">
        <w:rPr>
          <w:rStyle w:val="Appelnotedebasdep"/>
          <w:rFonts w:cs="Times New Roman"/>
        </w:rPr>
        <w:footnoteReference w:id="3"/>
      </w:r>
      <w:r w:rsidR="0083365A" w:rsidRPr="0083365A">
        <w:rPr>
          <w:rFonts w:cs="Times New Roman"/>
        </w:rPr>
        <w:t>)</w:t>
      </w:r>
      <w:r w:rsidR="0083365A">
        <w:rPr>
          <w:rFonts w:cs="Times New Roman"/>
        </w:rPr>
        <w:t xml:space="preserve">, il la tira à part, la sollicita et induit de se donner à lui et renoncer à Dieu, ce qu’elle fit </w:t>
      </w:r>
      <w:r w:rsidR="0083365A">
        <w:rPr>
          <w:rFonts w:ascii="Times New Roman" w:hAnsi="Times New Roman" w:cs="Times New Roman"/>
        </w:rPr>
        <w:t>[</w:t>
      </w:r>
      <w:r w:rsidR="0083365A">
        <w:rPr>
          <w:rFonts w:cs="Times New Roman"/>
        </w:rPr>
        <w:t>...</w:t>
      </w:r>
      <w:r w:rsidR="0083365A">
        <w:rPr>
          <w:rFonts w:ascii="Times New Roman" w:hAnsi="Times New Roman" w:cs="Times New Roman"/>
        </w:rPr>
        <w:t>]</w:t>
      </w:r>
      <w:r w:rsidR="0083365A">
        <w:rPr>
          <w:rFonts w:cs="Times New Roman"/>
        </w:rPr>
        <w:t xml:space="preserve">. Que tôt après qu’elle fut ainsi séduite l’ennemi la connut charnellement par deux fois ; la première en allant de nuit tourner l’eau en leur pré </w:t>
      </w:r>
      <w:r w:rsidR="0083365A">
        <w:rPr>
          <w:rFonts w:ascii="Times New Roman" w:hAnsi="Times New Roman" w:cs="Times New Roman"/>
        </w:rPr>
        <w:t>[</w:t>
      </w:r>
      <w:r w:rsidR="0083365A">
        <w:rPr>
          <w:rFonts w:cs="Times New Roman"/>
        </w:rPr>
        <w:t>...</w:t>
      </w:r>
      <w:r w:rsidR="0083365A">
        <w:rPr>
          <w:rFonts w:ascii="Times New Roman" w:hAnsi="Times New Roman" w:cs="Times New Roman"/>
        </w:rPr>
        <w:t>]</w:t>
      </w:r>
      <w:r w:rsidR="0083365A">
        <w:rPr>
          <w:rFonts w:cs="Times New Roman"/>
        </w:rPr>
        <w:t xml:space="preserve"> et par un jour de samedi avant jour en son lit, lors que Jean Maurice était parti pour aller au marché d’Épinal. Et que cette copulation ne lui était aucunement agréable pour ce que son attouchement était trop froid.</w:t>
      </w:r>
      <w:r w:rsidR="00FF3871">
        <w:rPr>
          <w:rFonts w:cs="Times New Roman"/>
        </w:rPr>
        <w:t xml:space="preserve"> </w:t>
      </w:r>
      <w:r w:rsidR="0083365A">
        <w:rPr>
          <w:rFonts w:ascii="Times New Roman" w:hAnsi="Times New Roman" w:cs="Times New Roman"/>
        </w:rPr>
        <w:t>[</w:t>
      </w:r>
      <w:r w:rsidR="0083365A">
        <w:rPr>
          <w:rFonts w:cs="Times New Roman"/>
        </w:rPr>
        <w:t>...</w:t>
      </w:r>
      <w:r w:rsidR="0083365A">
        <w:rPr>
          <w:rFonts w:ascii="Times New Roman" w:hAnsi="Times New Roman" w:cs="Times New Roman"/>
        </w:rPr>
        <w:t>]</w:t>
      </w:r>
      <w:r w:rsidR="0083365A">
        <w:rPr>
          <w:rFonts w:cs="Times New Roman"/>
        </w:rPr>
        <w:t xml:space="preserve">. Qu’elle a été plusieurs fois au sabbat et assemblées nocturnes, y étant portée le plus ordinairement par son maître qui lui </w:t>
      </w:r>
      <w:proofErr w:type="spellStart"/>
      <w:r w:rsidR="0083365A">
        <w:rPr>
          <w:rFonts w:cs="Times New Roman"/>
        </w:rPr>
        <w:t>allégauit</w:t>
      </w:r>
      <w:proofErr w:type="spellEnd"/>
      <w:r w:rsidR="0083365A">
        <w:rPr>
          <w:rFonts w:cs="Times New Roman"/>
        </w:rPr>
        <w:t xml:space="preserve"> qu’elle ne pesait guère ; d’autres fois y allait à son pied et par autre y rendue au moyen d’un certain tourbillon de vent impétueux. </w:t>
      </w:r>
      <w:r w:rsidR="00196846">
        <w:rPr>
          <w:rFonts w:ascii="Times New Roman" w:hAnsi="Times New Roman" w:cs="Times New Roman"/>
        </w:rPr>
        <w:t>[</w:t>
      </w:r>
      <w:r w:rsidR="00196846">
        <w:rPr>
          <w:rFonts w:cs="Times New Roman"/>
        </w:rPr>
        <w:t>...</w:t>
      </w:r>
      <w:r w:rsidR="00196846">
        <w:rPr>
          <w:rFonts w:ascii="Times New Roman" w:hAnsi="Times New Roman" w:cs="Times New Roman"/>
        </w:rPr>
        <w:t>]</w:t>
      </w:r>
      <w:r w:rsidR="0083365A">
        <w:rPr>
          <w:rFonts w:cs="Times New Roman"/>
        </w:rPr>
        <w:t xml:space="preserve">. Là, elle aurait vu grand nombre de personnes, qu’elle ne connaît pour ce qu’elles étaient voilées, qui dansaient et menaient grand bruit ; et quelques-uns recommandaient de manger et tenaient autres discours, même dansaient et elle non. </w:t>
      </w:r>
      <w:r w:rsidR="0083365A">
        <w:rPr>
          <w:rFonts w:ascii="Times New Roman" w:hAnsi="Times New Roman" w:cs="Times New Roman"/>
        </w:rPr>
        <w:t>[</w:t>
      </w:r>
      <w:r w:rsidR="0083365A">
        <w:rPr>
          <w:rFonts w:cs="Times New Roman"/>
        </w:rPr>
        <w:t>...</w:t>
      </w:r>
      <w:r w:rsidR="0083365A">
        <w:rPr>
          <w:rFonts w:ascii="Times New Roman" w:hAnsi="Times New Roman" w:cs="Times New Roman"/>
        </w:rPr>
        <w:t>]</w:t>
      </w:r>
      <w:r w:rsidR="0083365A">
        <w:rPr>
          <w:rFonts w:cs="Times New Roman"/>
        </w:rPr>
        <w:t xml:space="preserve"> </w:t>
      </w:r>
    </w:p>
    <w:p w14:paraId="58320A32" w14:textId="77777777" w:rsidR="0083365A" w:rsidRDefault="0083365A" w:rsidP="00620E44">
      <w:r>
        <w:t xml:space="preserve">Du 15 décembre 1615. Déclaration des frais et dépens employés à la confection du procès et exécution de </w:t>
      </w:r>
      <w:proofErr w:type="spellStart"/>
      <w:r>
        <w:t>Fleuratte</w:t>
      </w:r>
      <w:proofErr w:type="spellEnd"/>
      <w:r>
        <w:t xml:space="preserve">, femme de Jean Maurice de </w:t>
      </w:r>
      <w:proofErr w:type="spellStart"/>
      <w:r>
        <w:t>Docelle</w:t>
      </w:r>
      <w:proofErr w:type="spellEnd"/>
      <w:r>
        <w:t xml:space="preserve">, brûlée toute vive au lieu de Bruyères, le dixième de novembre 1615 pour cas de sortilège. Lesdites conclusions et avis étant chargés et exprès qu’avant l’exécution de ladite </w:t>
      </w:r>
      <w:proofErr w:type="spellStart"/>
      <w:r>
        <w:lastRenderedPageBreak/>
        <w:t>Fleuratte</w:t>
      </w:r>
      <w:proofErr w:type="spellEnd"/>
      <w:r>
        <w:t>, il convenait l’appliquer à la question pour tirer la connaissance de ses complices audit crime de sortilège, pour le messager qui de retour dudit Nancy fut quérir le maître des hautes œuvres</w:t>
      </w:r>
      <w:r w:rsidR="0007277A">
        <w:t xml:space="preserve"> audit Mirecourt à cause qu’en y passant au premier voyage, il ne le trouva en ville et ne le put faire acheminer : 3 francs</w:t>
      </w:r>
      <w:r w:rsidR="00E23EF2">
        <w:t xml:space="preserve">. </w:t>
      </w:r>
    </w:p>
    <w:p w14:paraId="12BE0C4A" w14:textId="77777777" w:rsidR="0007277A" w:rsidRDefault="0007277A" w:rsidP="0007277A">
      <w:pPr>
        <w:pStyle w:val="Sansinterligne"/>
        <w:spacing w:line="276" w:lineRule="auto"/>
        <w:ind w:left="426"/>
        <w:rPr>
          <w:sz w:val="22"/>
        </w:rPr>
      </w:pPr>
      <w:r w:rsidRPr="0007277A">
        <w:rPr>
          <w:sz w:val="22"/>
        </w:rPr>
        <w:t xml:space="preserve">Audit maître pour avoir donné la question à ladite prévenue : 5 francs </w:t>
      </w:r>
    </w:p>
    <w:p w14:paraId="1FEA2A7B" w14:textId="77777777" w:rsidR="0007277A" w:rsidRDefault="0007277A" w:rsidP="0007277A">
      <w:pPr>
        <w:pStyle w:val="Sansinterligne"/>
        <w:spacing w:line="276" w:lineRule="auto"/>
        <w:ind w:left="426"/>
        <w:rPr>
          <w:sz w:val="22"/>
        </w:rPr>
      </w:pPr>
      <w:r>
        <w:rPr>
          <w:sz w:val="22"/>
        </w:rPr>
        <w:t xml:space="preserve">Son droit pour l’avoir exécutée par le feu, le dixième dudit mois comme en appert par la sentence rendue contre elle ledit jour : 10 francs </w:t>
      </w:r>
      <w:r>
        <w:rPr>
          <w:rFonts w:ascii="Times New Roman" w:hAnsi="Times New Roman" w:cs="Times New Roman"/>
          <w:sz w:val="22"/>
        </w:rPr>
        <w:t>[</w:t>
      </w:r>
      <w:r>
        <w:rPr>
          <w:sz w:val="22"/>
        </w:rPr>
        <w:t>...</w:t>
      </w:r>
      <w:r>
        <w:rPr>
          <w:rFonts w:ascii="Times New Roman" w:hAnsi="Times New Roman" w:cs="Times New Roman"/>
          <w:sz w:val="22"/>
        </w:rPr>
        <w:t>]</w:t>
      </w:r>
      <w:r>
        <w:rPr>
          <w:sz w:val="22"/>
        </w:rPr>
        <w:t xml:space="preserve"> </w:t>
      </w:r>
    </w:p>
    <w:p w14:paraId="756C81FA" w14:textId="77777777" w:rsidR="0007277A" w:rsidRDefault="0007277A" w:rsidP="0007277A">
      <w:pPr>
        <w:pStyle w:val="Sansinterligne"/>
        <w:spacing w:line="276" w:lineRule="auto"/>
        <w:ind w:left="426"/>
        <w:rPr>
          <w:sz w:val="22"/>
        </w:rPr>
      </w:pPr>
      <w:r>
        <w:rPr>
          <w:sz w:val="22"/>
        </w:rPr>
        <w:t>A été employé du bois à la brûler pour 6 francs</w:t>
      </w:r>
    </w:p>
    <w:p w14:paraId="5EC35718" w14:textId="77777777" w:rsidR="0007277A" w:rsidRDefault="0007277A" w:rsidP="0007277A">
      <w:pPr>
        <w:pStyle w:val="Sansinterligne"/>
        <w:spacing w:line="276" w:lineRule="auto"/>
        <w:ind w:left="426"/>
        <w:rPr>
          <w:sz w:val="22"/>
        </w:rPr>
      </w:pPr>
      <w:r>
        <w:rPr>
          <w:sz w:val="22"/>
        </w:rPr>
        <w:t xml:space="preserve">À deux manœuvriers qui l’auraient découpé et mis en bûche : 10 gros </w:t>
      </w:r>
    </w:p>
    <w:p w14:paraId="06F1168E" w14:textId="77777777" w:rsidR="0007277A" w:rsidRDefault="0007277A" w:rsidP="0007277A">
      <w:pPr>
        <w:pStyle w:val="Sansinterligne"/>
        <w:spacing w:line="276" w:lineRule="auto"/>
        <w:ind w:left="426"/>
        <w:rPr>
          <w:sz w:val="22"/>
        </w:rPr>
      </w:pPr>
      <w:r>
        <w:rPr>
          <w:sz w:val="22"/>
        </w:rPr>
        <w:t xml:space="preserve">Pour celui qui l’aurait charroyé sur la place : 1 franc 8 gros </w:t>
      </w:r>
    </w:p>
    <w:p w14:paraId="69FAE91A" w14:textId="77777777" w:rsidR="0007277A" w:rsidRDefault="0007277A" w:rsidP="0007277A">
      <w:pPr>
        <w:pStyle w:val="Sansinterligne"/>
        <w:spacing w:line="276" w:lineRule="auto"/>
        <w:ind w:left="426"/>
        <w:rPr>
          <w:sz w:val="22"/>
        </w:rPr>
      </w:pPr>
      <w:r>
        <w:rPr>
          <w:sz w:val="22"/>
        </w:rPr>
        <w:t>Payé à celui qui a fourni la paille et fagots : 2 francs 4 gros</w:t>
      </w:r>
    </w:p>
    <w:p w14:paraId="59CD6808" w14:textId="77777777" w:rsidR="0007277A" w:rsidRDefault="0007277A" w:rsidP="0007277A">
      <w:pPr>
        <w:pStyle w:val="Sansinterligne"/>
        <w:spacing w:line="276" w:lineRule="auto"/>
        <w:ind w:left="426"/>
        <w:rPr>
          <w:sz w:val="22"/>
        </w:rPr>
      </w:pPr>
      <w:r>
        <w:rPr>
          <w:sz w:val="22"/>
        </w:rPr>
        <w:t xml:space="preserve">À Dieudonné </w:t>
      </w:r>
      <w:proofErr w:type="spellStart"/>
      <w:r>
        <w:rPr>
          <w:sz w:val="22"/>
        </w:rPr>
        <w:t>Doridant</w:t>
      </w:r>
      <w:proofErr w:type="spellEnd"/>
      <w:r>
        <w:rPr>
          <w:sz w:val="22"/>
        </w:rPr>
        <w:t>, maréchal, pour avoir fourni une chaîne de fer, un croc et quelque autre chose de sa pratique pour ladite exécution : 1 franc 8 gros</w:t>
      </w:r>
    </w:p>
    <w:p w14:paraId="381CCFBA" w14:textId="77777777" w:rsidR="0007277A" w:rsidRDefault="0007277A" w:rsidP="0007277A">
      <w:pPr>
        <w:pStyle w:val="Sansinterligne"/>
        <w:spacing w:line="276" w:lineRule="auto"/>
        <w:ind w:left="426"/>
        <w:rPr>
          <w:rFonts w:ascii="Times New Roman" w:hAnsi="Times New Roman" w:cs="Times New Roman"/>
          <w:sz w:val="22"/>
        </w:rPr>
      </w:pPr>
      <w:r>
        <w:rPr>
          <w:sz w:val="22"/>
        </w:rPr>
        <w:t xml:space="preserve">D’autant que les </w:t>
      </w:r>
      <w:proofErr w:type="spellStart"/>
      <w:r>
        <w:rPr>
          <w:sz w:val="22"/>
        </w:rPr>
        <w:t>jugeants</w:t>
      </w:r>
      <w:proofErr w:type="spellEnd"/>
      <w:r>
        <w:rPr>
          <w:sz w:val="22"/>
        </w:rPr>
        <w:t xml:space="preserve"> condamnèrent ladite défunte d’être brûlée toute vive, comme dit est, fut fourni audit Maître une demie livre de poudre pour l’attacher au col d’icelle, afin d’être plutôt expiré et ce à moyen empêcher un désespoir : 8 gros </w:t>
      </w:r>
      <w:r>
        <w:rPr>
          <w:rFonts w:ascii="Times New Roman" w:hAnsi="Times New Roman" w:cs="Times New Roman"/>
          <w:sz w:val="22"/>
        </w:rPr>
        <w:t>[</w:t>
      </w:r>
      <w:r>
        <w:rPr>
          <w:sz w:val="22"/>
        </w:rPr>
        <w:t>...</w:t>
      </w:r>
      <w:r>
        <w:rPr>
          <w:rFonts w:ascii="Times New Roman" w:hAnsi="Times New Roman" w:cs="Times New Roman"/>
          <w:sz w:val="22"/>
        </w:rPr>
        <w:t xml:space="preserve">] </w:t>
      </w:r>
    </w:p>
    <w:p w14:paraId="4459DDB9" w14:textId="77777777" w:rsidR="0007277A" w:rsidRDefault="0007277A" w:rsidP="0007277A">
      <w:pPr>
        <w:pStyle w:val="Sansinterligne"/>
        <w:spacing w:line="276" w:lineRule="auto"/>
        <w:ind w:left="426"/>
        <w:rPr>
          <w:sz w:val="22"/>
        </w:rPr>
      </w:pPr>
      <w:r>
        <w:rPr>
          <w:sz w:val="22"/>
        </w:rPr>
        <w:t>À un charpentier qui façonna un poteau et le dressa et pour celui qui en fournit le bois et le mena en place : 1 franc 10 gros</w:t>
      </w:r>
    </w:p>
    <w:p w14:paraId="469BE32A" w14:textId="77777777" w:rsidR="0007277A" w:rsidRDefault="0007277A" w:rsidP="0007277A">
      <w:pPr>
        <w:pStyle w:val="Sansinterligne"/>
        <w:spacing w:line="276" w:lineRule="auto"/>
        <w:ind w:left="426"/>
        <w:rPr>
          <w:sz w:val="22"/>
        </w:rPr>
      </w:pPr>
      <w:r>
        <w:rPr>
          <w:sz w:val="22"/>
        </w:rPr>
        <w:t xml:space="preserve">Pour la nourriture de ladite </w:t>
      </w:r>
      <w:proofErr w:type="spellStart"/>
      <w:r>
        <w:rPr>
          <w:sz w:val="22"/>
        </w:rPr>
        <w:t>Fleuratte</w:t>
      </w:r>
      <w:proofErr w:type="spellEnd"/>
      <w:r>
        <w:rPr>
          <w:sz w:val="22"/>
        </w:rPr>
        <w:t xml:space="preserve"> depuis le deuxième dudit mois d’octobre qu’elle fut emprisonnée jusque audit </w:t>
      </w:r>
      <w:proofErr w:type="spellStart"/>
      <w:r>
        <w:rPr>
          <w:sz w:val="22"/>
        </w:rPr>
        <w:t>dicième</w:t>
      </w:r>
      <w:proofErr w:type="spellEnd"/>
      <w:r>
        <w:rPr>
          <w:sz w:val="22"/>
        </w:rPr>
        <w:t xml:space="preserve"> dudit mois de novembre suivant, qui sont quarante jours à douze deniers l’un : 2 francs 6 gros </w:t>
      </w:r>
    </w:p>
    <w:p w14:paraId="65669DBE" w14:textId="77777777" w:rsidR="00647699" w:rsidRDefault="0007277A" w:rsidP="0007277A">
      <w:pPr>
        <w:pStyle w:val="Citationsources"/>
      </w:pPr>
      <w:r>
        <w:t xml:space="preserve">Archives départementales de Meurthe-et-Moselle, B 3789, Docelles, procès de Fleurette Maurice, 1615. </w:t>
      </w:r>
    </w:p>
    <w:p w14:paraId="2CBE79E9" w14:textId="77777777" w:rsidR="00647699" w:rsidRPr="004758FB" w:rsidRDefault="00647699" w:rsidP="00620E44">
      <w:pPr>
        <w:pStyle w:val="Titre1"/>
      </w:pPr>
      <w:r w:rsidRPr="001876DF">
        <w:t xml:space="preserve">Document </w:t>
      </w:r>
      <w:r>
        <w:t>2</w:t>
      </w:r>
      <w:r w:rsidRPr="001876DF">
        <w:t>.</w:t>
      </w:r>
      <w:r>
        <w:t xml:space="preserve"> </w:t>
      </w:r>
      <w:r w:rsidR="00E143A2">
        <w:t>Les procès pour sorcellerie en Lorraine</w:t>
      </w:r>
      <w:r w:rsidR="004758FB">
        <w:t xml:space="preserve"> (</w:t>
      </w:r>
      <w:proofErr w:type="spellStart"/>
      <w:r w:rsidR="004758FB">
        <w:rPr>
          <w:smallCaps/>
        </w:rPr>
        <w:t>xvi</w:t>
      </w:r>
      <w:r w:rsidR="004758FB" w:rsidRPr="00E55382">
        <w:rPr>
          <w:vertAlign w:val="superscript"/>
        </w:rPr>
        <w:t>e</w:t>
      </w:r>
      <w:proofErr w:type="spellEnd"/>
      <w:r w:rsidR="004758FB">
        <w:t xml:space="preserve"> – </w:t>
      </w:r>
      <w:proofErr w:type="spellStart"/>
      <w:r w:rsidR="004758FB">
        <w:rPr>
          <w:smallCaps/>
        </w:rPr>
        <w:t>xvii</w:t>
      </w:r>
      <w:r w:rsidR="004758FB" w:rsidRPr="00E55382">
        <w:rPr>
          <w:vertAlign w:val="superscript"/>
        </w:rPr>
        <w:t>e</w:t>
      </w:r>
      <w:proofErr w:type="spellEnd"/>
      <w:r w:rsidR="004758FB">
        <w:t xml:space="preserve"> siècles) </w:t>
      </w:r>
    </w:p>
    <w:p w14:paraId="2257AB19" w14:textId="77777777" w:rsidR="00647699" w:rsidRPr="00620E44" w:rsidRDefault="004758FB" w:rsidP="00620E44">
      <w:r w:rsidRPr="00620E44">
        <w:t xml:space="preserve">En Lorraine du Sud, environ 280 procès-verbaux d’information sont disponibles pour les seules régions de Saint-Dié et de Bruyères. Sur l’ensemble des duchés, nous avons recensé 1076 procès disponibles sans même compter les Évêchés. Conservées dans la série B des Archives de Meurthe-et-Moselle et dans la série G de celles des Vosges, ces sources forment un ensemble cohérent, ce qui en fait la valeur. Les comptes des receveurs ducaux de Saint-Dié et de Raon-L’Étape, classés chronologiquement, se succèdent de 1494 à 1663 avec seulement cinq années lacunaires ; </w:t>
      </w:r>
      <w:r w:rsidR="00196846">
        <w:rPr>
          <w:rFonts w:ascii="Times New Roman" w:hAnsi="Times New Roman" w:cs="Times New Roman"/>
        </w:rPr>
        <w:t>[</w:t>
      </w:r>
      <w:r w:rsidR="00196846">
        <w:t>...</w:t>
      </w:r>
      <w:r w:rsidR="00196846">
        <w:rPr>
          <w:rFonts w:ascii="Times New Roman" w:hAnsi="Times New Roman" w:cs="Times New Roman"/>
        </w:rPr>
        <w:t>]</w:t>
      </w:r>
      <w:r w:rsidRPr="00620E44">
        <w:t xml:space="preserve">. </w:t>
      </w:r>
    </w:p>
    <w:p w14:paraId="184BB48D" w14:textId="77777777" w:rsidR="004758FB" w:rsidRPr="00620E44" w:rsidRDefault="004758FB" w:rsidP="00620E44">
      <w:r w:rsidRPr="00620E44">
        <w:rPr>
          <w:rFonts w:cs="Times New Roman"/>
        </w:rPr>
        <w:t>[</w:t>
      </w:r>
      <w:r w:rsidRPr="00620E44">
        <w:t>...</w:t>
      </w:r>
      <w:r w:rsidRPr="00620E44">
        <w:rPr>
          <w:rFonts w:cs="Times New Roman"/>
        </w:rPr>
        <w:t>]</w:t>
      </w:r>
      <w:r w:rsidRPr="00620E44">
        <w:t xml:space="preserve"> Un procès-verbal d’instruction se compose généralement de cinq parties. On ouvre d’abord une information secrète, où dépose souvent la totalité des membres de la communauté. Le prévenu est ensuite interrogé à partir des témoignages qui viennent d’être réunis et qu’il ne connaît pas. Ses </w:t>
      </w:r>
      <w:r w:rsidR="009978D1" w:rsidRPr="00620E44">
        <w:t>dénégations</w:t>
      </w:r>
      <w:r w:rsidRPr="00620E44">
        <w:t xml:space="preserve"> le conduisent</w:t>
      </w:r>
      <w:r w:rsidR="009978D1">
        <w:t xml:space="preserve"> </w:t>
      </w:r>
      <w:r w:rsidRPr="00620E44">
        <w:t>à être confronté aux témoins initiaux – ses voisins, voire les membres de sa propre famille. L’ens</w:t>
      </w:r>
      <w:r w:rsidR="0069039E">
        <w:t>e</w:t>
      </w:r>
      <w:r w:rsidRPr="00620E44">
        <w:t xml:space="preserve">mble est d’une grande richesse et permet d’appréhender les relations endogènes de la communauté. Le compte rendu – le « besogné » - est alors soumis au procureur d’office qui en déduit un certain nombre d’indices, c’est-à-dire de </w:t>
      </w:r>
      <w:r w:rsidR="0069039E">
        <w:t>recoupements</w:t>
      </w:r>
      <w:r w:rsidRPr="00620E44">
        <w:t xml:space="preserve"> ou d’hésitations. Il en demande la « purgation », qui revient à interroger sur ces points précis un accusé soumis à une contrainte de plus en plus sévère. La torture de la question n’intervient qu’après l’accord des échevins nancéiens du Change ; son emploi est justifié par le fait que seul un aveu constitue une preuve, d’autant plus que le raisonnement s’appuie sur le syllogisme. La cinquième phase est le « prononcé » du jugement et de la </w:t>
      </w:r>
      <w:r w:rsidR="0069039E" w:rsidRPr="00620E44">
        <w:t>sentence</w:t>
      </w:r>
      <w:r w:rsidRPr="00620E44">
        <w:t xml:space="preserve"> qui l’accompagne. </w:t>
      </w:r>
    </w:p>
    <w:p w14:paraId="2B5A503A" w14:textId="77777777" w:rsidR="00647699" w:rsidRDefault="004758FB" w:rsidP="0069039E">
      <w:pPr>
        <w:pStyle w:val="Citationsources"/>
        <w:spacing w:before="180"/>
      </w:pPr>
      <w:r w:rsidRPr="004758FB">
        <w:t xml:space="preserve">Jean-Claude </w:t>
      </w:r>
      <w:proofErr w:type="spellStart"/>
      <w:r w:rsidRPr="004758FB">
        <w:rPr>
          <w:smallCaps/>
        </w:rPr>
        <w:t>Diedler</w:t>
      </w:r>
      <w:proofErr w:type="spellEnd"/>
      <w:r w:rsidRPr="004758FB">
        <w:t xml:space="preserve">, « Un procès de sorcellerie en Lorraine du Sud au début du </w:t>
      </w:r>
      <w:proofErr w:type="spellStart"/>
      <w:r w:rsidRPr="004758FB">
        <w:rPr>
          <w:smallCaps/>
        </w:rPr>
        <w:t>xvii</w:t>
      </w:r>
      <w:r w:rsidRPr="004758FB">
        <w:rPr>
          <w:vertAlign w:val="superscript"/>
        </w:rPr>
        <w:t>e</w:t>
      </w:r>
      <w:proofErr w:type="spellEnd"/>
      <w:r w:rsidRPr="004758FB">
        <w:t xml:space="preserve"> siècle », </w:t>
      </w:r>
      <w:r>
        <w:br/>
      </w:r>
      <w:r w:rsidRPr="004758FB">
        <w:rPr>
          <w:i/>
        </w:rPr>
        <w:t>Histoire &amp; Sociétés Rurales</w:t>
      </w:r>
      <w:r w:rsidRPr="004758FB">
        <w:t xml:space="preserve">, 7-1, 1997, p. 133-172, ici p. 134-135. </w:t>
      </w:r>
    </w:p>
    <w:p w14:paraId="42C49417" w14:textId="77777777" w:rsidR="007A0419" w:rsidRDefault="007A0419">
      <w:pPr>
        <w:spacing w:line="259" w:lineRule="auto"/>
        <w:ind w:firstLine="0"/>
        <w:jc w:val="left"/>
        <w:rPr>
          <w:rFonts w:eastAsia="MS Gothic" w:cs="Segoe UI Symbol"/>
          <w:b/>
          <w:sz w:val="24"/>
          <w:szCs w:val="24"/>
        </w:rPr>
      </w:pPr>
      <w:r>
        <w:br w:type="page"/>
      </w:r>
    </w:p>
    <w:p w14:paraId="0A721A17" w14:textId="77777777" w:rsidR="0069039E" w:rsidRPr="00FF3871" w:rsidRDefault="0069039E" w:rsidP="00620E44">
      <w:pPr>
        <w:pStyle w:val="Titre1"/>
      </w:pPr>
      <w:r w:rsidRPr="00FF3871">
        <w:lastRenderedPageBreak/>
        <w:sym w:font="Wingdings" w:char="F04F"/>
      </w:r>
      <w:r w:rsidRPr="00FF3871">
        <w:t xml:space="preserve"> </w:t>
      </w:r>
      <w:r w:rsidR="00FF3871" w:rsidRPr="00FF3871">
        <w:t xml:space="preserve">Comprendre son travail et l’améliorer : les attendus d’une introduction </w:t>
      </w:r>
    </w:p>
    <w:tbl>
      <w:tblPr>
        <w:tblStyle w:val="Grilledutableau1"/>
        <w:tblW w:w="9782" w:type="dxa"/>
        <w:tblInd w:w="-289" w:type="dxa"/>
        <w:tblLayout w:type="fixed"/>
        <w:tblLook w:val="04A0" w:firstRow="1" w:lastRow="0" w:firstColumn="1" w:lastColumn="0" w:noHBand="0" w:noVBand="1"/>
      </w:tblPr>
      <w:tblGrid>
        <w:gridCol w:w="9356"/>
        <w:gridCol w:w="426"/>
      </w:tblGrid>
      <w:tr w:rsidR="00FF3871" w:rsidRPr="008734B9" w14:paraId="0B9DF758" w14:textId="77777777" w:rsidTr="00FF3871">
        <w:tc>
          <w:tcPr>
            <w:tcW w:w="9356" w:type="dxa"/>
          </w:tcPr>
          <w:p w14:paraId="565F8EC4" w14:textId="77777777" w:rsidR="00FF3871" w:rsidRPr="008734B9" w:rsidRDefault="00FF3871" w:rsidP="00455CF9">
            <w:pPr>
              <w:pStyle w:val="Sansinterligne"/>
              <w:spacing w:before="80" w:after="80"/>
              <w:rPr>
                <w:b/>
                <w:sz w:val="22"/>
                <w:szCs w:val="22"/>
              </w:rPr>
            </w:pPr>
            <w:r>
              <w:rPr>
                <w:b/>
                <w:sz w:val="22"/>
                <w:szCs w:val="22"/>
              </w:rPr>
              <w:t xml:space="preserve">La présentation du document est détaillée et permet d’amener vers la problématique  </w:t>
            </w:r>
          </w:p>
        </w:tc>
        <w:tc>
          <w:tcPr>
            <w:tcW w:w="426" w:type="dxa"/>
            <w:shd w:val="clear" w:color="auto" w:fill="BFBFBF" w:themeFill="background1" w:themeFillShade="BF"/>
          </w:tcPr>
          <w:p w14:paraId="2AF4C7B3" w14:textId="77777777" w:rsidR="00FF3871" w:rsidRPr="008734B9" w:rsidRDefault="00FF3871" w:rsidP="00455CF9">
            <w:pPr>
              <w:pStyle w:val="Sansinterligne"/>
              <w:spacing w:before="80" w:after="80"/>
              <w:rPr>
                <w:b/>
                <w:sz w:val="22"/>
                <w:szCs w:val="22"/>
              </w:rPr>
            </w:pPr>
          </w:p>
        </w:tc>
      </w:tr>
      <w:tr w:rsidR="00FF3871" w:rsidRPr="008734B9" w14:paraId="16CC5185" w14:textId="77777777" w:rsidTr="00FF3871">
        <w:tc>
          <w:tcPr>
            <w:tcW w:w="9356" w:type="dxa"/>
          </w:tcPr>
          <w:p w14:paraId="4626B23A" w14:textId="77777777" w:rsidR="00FF3871" w:rsidRPr="008734B9" w:rsidRDefault="00FF3871" w:rsidP="00455CF9">
            <w:pPr>
              <w:pStyle w:val="Sansinterligne"/>
              <w:spacing w:before="40" w:after="40"/>
              <w:ind w:left="171"/>
              <w:rPr>
                <w:i/>
                <w:sz w:val="22"/>
                <w:szCs w:val="22"/>
              </w:rPr>
            </w:pPr>
            <w:r>
              <w:rPr>
                <w:i/>
                <w:sz w:val="22"/>
                <w:szCs w:val="22"/>
              </w:rPr>
              <w:t xml:space="preserve">Ni l’auteur, ni la nature, ni le contexte de production de la source ne sont analysés. </w:t>
            </w:r>
            <w:r>
              <w:rPr>
                <w:i/>
                <w:sz w:val="22"/>
                <w:szCs w:val="22"/>
              </w:rPr>
              <w:br/>
              <w:t xml:space="preserve">L’introduction consiste en une restitution de connaissances vagues sur la période, sans rapport avec la source.  </w:t>
            </w:r>
          </w:p>
        </w:tc>
        <w:tc>
          <w:tcPr>
            <w:tcW w:w="426" w:type="dxa"/>
            <w:vAlign w:val="center"/>
          </w:tcPr>
          <w:p w14:paraId="55902AF1" w14:textId="77777777" w:rsidR="00FF3871" w:rsidRPr="008734B9" w:rsidRDefault="00FF3871" w:rsidP="00455CF9">
            <w:pPr>
              <w:pStyle w:val="Sansinterligne"/>
              <w:spacing w:before="40" w:after="40"/>
              <w:ind w:left="-10"/>
              <w:jc w:val="center"/>
              <w:rPr>
                <w:sz w:val="22"/>
                <w:szCs w:val="22"/>
              </w:rPr>
            </w:pPr>
            <w:r>
              <w:rPr>
                <w:sz w:val="22"/>
                <w:szCs w:val="22"/>
              </w:rPr>
              <w:t>0</w:t>
            </w:r>
          </w:p>
        </w:tc>
      </w:tr>
      <w:tr w:rsidR="00FF3871" w:rsidRPr="008734B9" w14:paraId="78695BD7" w14:textId="77777777" w:rsidTr="00FF3871">
        <w:tc>
          <w:tcPr>
            <w:tcW w:w="9356" w:type="dxa"/>
          </w:tcPr>
          <w:p w14:paraId="3760195C" w14:textId="77777777" w:rsidR="00FF3871" w:rsidRPr="008734B9" w:rsidRDefault="00FF3871" w:rsidP="00455CF9">
            <w:pPr>
              <w:pStyle w:val="Sansinterligne"/>
              <w:spacing w:before="40" w:after="40"/>
              <w:ind w:left="171"/>
              <w:rPr>
                <w:i/>
                <w:sz w:val="22"/>
                <w:szCs w:val="22"/>
              </w:rPr>
            </w:pPr>
            <w:r w:rsidRPr="008734B9">
              <w:rPr>
                <w:i/>
                <w:sz w:val="22"/>
                <w:szCs w:val="22"/>
              </w:rPr>
              <w:t xml:space="preserve">L’auteur, la nature et le contexte du document ne sont pas </w:t>
            </w:r>
            <w:r>
              <w:rPr>
                <w:i/>
                <w:sz w:val="22"/>
                <w:szCs w:val="22"/>
              </w:rPr>
              <w:t>ou presque pas</w:t>
            </w:r>
            <w:r w:rsidRPr="008734B9">
              <w:rPr>
                <w:i/>
                <w:sz w:val="22"/>
                <w:szCs w:val="22"/>
              </w:rPr>
              <w:t xml:space="preserve"> analysés, avec des incohérences historiques importantes. </w:t>
            </w:r>
          </w:p>
        </w:tc>
        <w:tc>
          <w:tcPr>
            <w:tcW w:w="426" w:type="dxa"/>
            <w:vAlign w:val="center"/>
          </w:tcPr>
          <w:p w14:paraId="7CB9A12E" w14:textId="77777777" w:rsidR="00FF3871" w:rsidRPr="008734B9" w:rsidRDefault="00FF3871" w:rsidP="00455CF9">
            <w:pPr>
              <w:pStyle w:val="Sansinterligne"/>
              <w:spacing w:before="40" w:after="40"/>
              <w:ind w:left="-10"/>
              <w:jc w:val="center"/>
              <w:rPr>
                <w:sz w:val="22"/>
                <w:szCs w:val="22"/>
              </w:rPr>
            </w:pPr>
            <w:r w:rsidRPr="008734B9">
              <w:rPr>
                <w:sz w:val="22"/>
                <w:szCs w:val="22"/>
              </w:rPr>
              <w:t>1</w:t>
            </w:r>
          </w:p>
        </w:tc>
      </w:tr>
      <w:tr w:rsidR="00FF3871" w:rsidRPr="008734B9" w14:paraId="0203487A" w14:textId="77777777" w:rsidTr="00FF3871">
        <w:tc>
          <w:tcPr>
            <w:tcW w:w="9356" w:type="dxa"/>
          </w:tcPr>
          <w:p w14:paraId="7CF54A4D" w14:textId="77777777" w:rsidR="00FF3871" w:rsidRPr="008734B9" w:rsidRDefault="00FF3871" w:rsidP="00455CF9">
            <w:pPr>
              <w:pStyle w:val="Sansinterligne"/>
              <w:spacing w:before="40" w:after="40"/>
              <w:ind w:left="171"/>
              <w:rPr>
                <w:i/>
                <w:sz w:val="22"/>
                <w:szCs w:val="22"/>
              </w:rPr>
            </w:pPr>
            <w:r w:rsidRPr="008734B9">
              <w:rPr>
                <w:i/>
                <w:sz w:val="22"/>
                <w:szCs w:val="22"/>
              </w:rPr>
              <w:t xml:space="preserve">L’auteur est présenté judicieusement, en sélectionnant ce qui permet de mieux comprendre le document. </w:t>
            </w:r>
            <w:r w:rsidRPr="008734B9">
              <w:rPr>
                <w:i/>
                <w:sz w:val="22"/>
                <w:szCs w:val="22"/>
              </w:rPr>
              <w:br/>
              <w:t xml:space="preserve">L’analyse de la nature du document permet d’amener d’autres éléments (destinataire(s), objectif(s)). </w:t>
            </w:r>
            <w:r w:rsidRPr="008734B9">
              <w:rPr>
                <w:i/>
                <w:sz w:val="22"/>
                <w:szCs w:val="22"/>
              </w:rPr>
              <w:br/>
              <w:t xml:space="preserve">Le contexte est ciblé pour correspondre au propos. </w:t>
            </w:r>
          </w:p>
        </w:tc>
        <w:tc>
          <w:tcPr>
            <w:tcW w:w="426" w:type="dxa"/>
            <w:vAlign w:val="center"/>
          </w:tcPr>
          <w:p w14:paraId="69306E45" w14:textId="77777777" w:rsidR="00FF3871" w:rsidRPr="008734B9" w:rsidRDefault="00FF3871" w:rsidP="00455CF9">
            <w:pPr>
              <w:pStyle w:val="Sansinterligne"/>
              <w:spacing w:before="40" w:after="40"/>
              <w:ind w:left="-10"/>
              <w:jc w:val="center"/>
              <w:rPr>
                <w:sz w:val="22"/>
                <w:szCs w:val="22"/>
              </w:rPr>
            </w:pPr>
            <w:r w:rsidRPr="008734B9">
              <w:rPr>
                <w:sz w:val="22"/>
                <w:szCs w:val="22"/>
              </w:rPr>
              <w:t>2</w:t>
            </w:r>
          </w:p>
        </w:tc>
      </w:tr>
      <w:tr w:rsidR="00FF3871" w:rsidRPr="008734B9" w14:paraId="0D66AFFA" w14:textId="77777777" w:rsidTr="00FF3871">
        <w:tc>
          <w:tcPr>
            <w:tcW w:w="9356" w:type="dxa"/>
          </w:tcPr>
          <w:p w14:paraId="53002A04" w14:textId="77777777" w:rsidR="00FF3871" w:rsidRPr="008734B9" w:rsidRDefault="00FF3871" w:rsidP="00455CF9">
            <w:pPr>
              <w:pStyle w:val="Sansinterligne"/>
              <w:spacing w:before="40" w:after="40"/>
              <w:ind w:left="171"/>
              <w:rPr>
                <w:i/>
                <w:sz w:val="22"/>
                <w:szCs w:val="22"/>
              </w:rPr>
            </w:pPr>
            <w:r w:rsidRPr="008734B9">
              <w:rPr>
                <w:i/>
                <w:sz w:val="22"/>
                <w:szCs w:val="22"/>
              </w:rPr>
              <w:t xml:space="preserve">Précédent + l’analyse de la nature du document tient autant compte des aspects matériels </w:t>
            </w:r>
            <w:r w:rsidRPr="008734B9">
              <w:rPr>
                <w:i/>
                <w:sz w:val="22"/>
                <w:szCs w:val="22"/>
              </w:rPr>
              <w:br/>
              <w:t xml:space="preserve">que des éléments annexes (destinataires, objectifs), donnant des indices sur la réception potentielle du document. </w:t>
            </w:r>
            <w:r w:rsidRPr="008734B9">
              <w:rPr>
                <w:i/>
                <w:sz w:val="22"/>
                <w:szCs w:val="22"/>
              </w:rPr>
              <w:br/>
              <w:t>Le contexte va du plus général (en quelques mots) au plus particulier (plus développé).</w:t>
            </w:r>
            <w:r>
              <w:rPr>
                <w:i/>
                <w:sz w:val="22"/>
                <w:szCs w:val="22"/>
              </w:rPr>
              <w:t xml:space="preserve"> Il amène vers la problématique. </w:t>
            </w:r>
          </w:p>
        </w:tc>
        <w:tc>
          <w:tcPr>
            <w:tcW w:w="426" w:type="dxa"/>
            <w:vAlign w:val="center"/>
          </w:tcPr>
          <w:p w14:paraId="4858B00D" w14:textId="77777777" w:rsidR="00FF3871" w:rsidRPr="008734B9" w:rsidRDefault="00FF3871" w:rsidP="00455CF9">
            <w:pPr>
              <w:pStyle w:val="Sansinterligne"/>
              <w:spacing w:before="40" w:after="40"/>
              <w:ind w:left="-10"/>
              <w:jc w:val="center"/>
              <w:rPr>
                <w:sz w:val="22"/>
                <w:szCs w:val="22"/>
              </w:rPr>
            </w:pPr>
            <w:r w:rsidRPr="008734B9">
              <w:rPr>
                <w:sz w:val="22"/>
                <w:szCs w:val="22"/>
              </w:rPr>
              <w:t>3</w:t>
            </w:r>
          </w:p>
        </w:tc>
      </w:tr>
      <w:tr w:rsidR="00FF3871" w:rsidRPr="008734B9" w14:paraId="5D1AC859" w14:textId="77777777" w:rsidTr="00FF3871">
        <w:tc>
          <w:tcPr>
            <w:tcW w:w="9356" w:type="dxa"/>
          </w:tcPr>
          <w:p w14:paraId="3779C7B6" w14:textId="77777777" w:rsidR="00FF3871" w:rsidRPr="008734B9" w:rsidRDefault="00FF3871" w:rsidP="00455CF9">
            <w:pPr>
              <w:pStyle w:val="Sansinterligne"/>
              <w:spacing w:before="80" w:after="80"/>
              <w:rPr>
                <w:b/>
                <w:sz w:val="22"/>
                <w:szCs w:val="22"/>
              </w:rPr>
            </w:pPr>
            <w:r w:rsidRPr="008734B9">
              <w:rPr>
                <w:b/>
                <w:sz w:val="22"/>
                <w:szCs w:val="22"/>
              </w:rPr>
              <w:t>La problématique est cohérente et écrite simplement</w:t>
            </w:r>
          </w:p>
        </w:tc>
        <w:tc>
          <w:tcPr>
            <w:tcW w:w="426" w:type="dxa"/>
            <w:shd w:val="clear" w:color="auto" w:fill="BFBFBF" w:themeFill="background1" w:themeFillShade="BF"/>
            <w:vAlign w:val="center"/>
          </w:tcPr>
          <w:p w14:paraId="55EF6C4E" w14:textId="77777777" w:rsidR="00FF3871" w:rsidRPr="008734B9" w:rsidRDefault="00FF3871" w:rsidP="00455CF9">
            <w:pPr>
              <w:pStyle w:val="Sansinterligne"/>
              <w:spacing w:before="80" w:after="80"/>
              <w:ind w:left="-10"/>
              <w:jc w:val="center"/>
              <w:rPr>
                <w:b/>
                <w:sz w:val="22"/>
                <w:szCs w:val="22"/>
              </w:rPr>
            </w:pPr>
          </w:p>
        </w:tc>
      </w:tr>
      <w:tr w:rsidR="00FF3871" w:rsidRPr="008734B9" w14:paraId="6542585B" w14:textId="77777777" w:rsidTr="00FF3871">
        <w:tc>
          <w:tcPr>
            <w:tcW w:w="9356" w:type="dxa"/>
          </w:tcPr>
          <w:p w14:paraId="6784DA44" w14:textId="77777777" w:rsidR="00FF3871" w:rsidRPr="008734B9" w:rsidRDefault="00FF3871" w:rsidP="00455CF9">
            <w:pPr>
              <w:pStyle w:val="Sansinterligne"/>
              <w:spacing w:before="40" w:after="40"/>
              <w:ind w:left="171"/>
              <w:rPr>
                <w:i/>
                <w:sz w:val="22"/>
                <w:szCs w:val="22"/>
              </w:rPr>
            </w:pPr>
            <w:r>
              <w:rPr>
                <w:i/>
                <w:sz w:val="22"/>
                <w:szCs w:val="22"/>
              </w:rPr>
              <w:t xml:space="preserve">La problématique est amenée de manière maladroite (du type « nous allons nous demander… ») ; </w:t>
            </w:r>
            <w:r>
              <w:rPr>
                <w:i/>
                <w:sz w:val="22"/>
                <w:szCs w:val="22"/>
              </w:rPr>
              <w:br/>
              <w:t xml:space="preserve">elle consiste ou en une formulation du sujet de la source sous forme interrogative, ou en un questionnement maladroit sur l’apport événementiel de la source (du type « qu’est-ce que ce texte nous dit de tel événement ? »). </w:t>
            </w:r>
          </w:p>
        </w:tc>
        <w:tc>
          <w:tcPr>
            <w:tcW w:w="426" w:type="dxa"/>
            <w:vAlign w:val="center"/>
          </w:tcPr>
          <w:p w14:paraId="6EB65E08" w14:textId="77777777" w:rsidR="00FF3871" w:rsidRPr="008734B9" w:rsidRDefault="00FF3871" w:rsidP="00455CF9">
            <w:pPr>
              <w:pStyle w:val="Sansinterligne"/>
              <w:spacing w:before="40" w:after="40"/>
              <w:ind w:left="-10"/>
              <w:jc w:val="center"/>
              <w:rPr>
                <w:sz w:val="22"/>
                <w:szCs w:val="22"/>
              </w:rPr>
            </w:pPr>
            <w:r>
              <w:rPr>
                <w:sz w:val="22"/>
                <w:szCs w:val="22"/>
              </w:rPr>
              <w:t>0</w:t>
            </w:r>
          </w:p>
        </w:tc>
      </w:tr>
      <w:tr w:rsidR="00FF3871" w:rsidRPr="008734B9" w14:paraId="35762103" w14:textId="77777777" w:rsidTr="00FF3871">
        <w:tc>
          <w:tcPr>
            <w:tcW w:w="9356" w:type="dxa"/>
          </w:tcPr>
          <w:p w14:paraId="3D449A36" w14:textId="77777777" w:rsidR="00FF3871" w:rsidRPr="008734B9" w:rsidRDefault="00FF3871" w:rsidP="00455CF9">
            <w:pPr>
              <w:pStyle w:val="Sansinterligne"/>
              <w:spacing w:before="40" w:after="40"/>
              <w:ind w:left="171"/>
              <w:rPr>
                <w:i/>
                <w:sz w:val="22"/>
                <w:szCs w:val="22"/>
              </w:rPr>
            </w:pPr>
            <w:r w:rsidRPr="008734B9">
              <w:rPr>
                <w:i/>
                <w:sz w:val="22"/>
                <w:szCs w:val="22"/>
              </w:rPr>
              <w:t xml:space="preserve">Trop complexe ou hors-sujet, la problématique n’apporte pas de questionnement particulier au document. </w:t>
            </w:r>
          </w:p>
        </w:tc>
        <w:tc>
          <w:tcPr>
            <w:tcW w:w="426" w:type="dxa"/>
            <w:vAlign w:val="center"/>
          </w:tcPr>
          <w:p w14:paraId="0BDCECD3" w14:textId="77777777" w:rsidR="00FF3871" w:rsidRPr="008734B9" w:rsidRDefault="00FF3871" w:rsidP="00455CF9">
            <w:pPr>
              <w:pStyle w:val="Sansinterligne"/>
              <w:spacing w:before="40" w:after="40"/>
              <w:ind w:left="-10"/>
              <w:jc w:val="center"/>
              <w:rPr>
                <w:sz w:val="22"/>
                <w:szCs w:val="22"/>
              </w:rPr>
            </w:pPr>
            <w:r w:rsidRPr="008734B9">
              <w:rPr>
                <w:sz w:val="22"/>
                <w:szCs w:val="22"/>
              </w:rPr>
              <w:t>1</w:t>
            </w:r>
          </w:p>
        </w:tc>
      </w:tr>
      <w:tr w:rsidR="00FF3871" w:rsidRPr="008734B9" w14:paraId="0CD73D58" w14:textId="77777777" w:rsidTr="00FF3871">
        <w:tc>
          <w:tcPr>
            <w:tcW w:w="9356" w:type="dxa"/>
          </w:tcPr>
          <w:p w14:paraId="0FDD3913" w14:textId="77777777" w:rsidR="00FF3871" w:rsidRPr="008734B9" w:rsidRDefault="00FF3871" w:rsidP="00455CF9">
            <w:pPr>
              <w:pStyle w:val="Sansinterligne"/>
              <w:spacing w:before="40" w:after="40"/>
              <w:ind w:left="171"/>
              <w:rPr>
                <w:i/>
                <w:sz w:val="22"/>
                <w:szCs w:val="22"/>
              </w:rPr>
            </w:pPr>
            <w:r w:rsidRPr="008734B9">
              <w:rPr>
                <w:i/>
                <w:sz w:val="22"/>
                <w:szCs w:val="22"/>
              </w:rPr>
              <w:t xml:space="preserve">La problématique, rédigée simplement, donne au commentaire une clé de lecture découlant logiquement </w:t>
            </w:r>
            <w:r w:rsidRPr="008734B9">
              <w:rPr>
                <w:i/>
                <w:sz w:val="22"/>
                <w:szCs w:val="22"/>
              </w:rPr>
              <w:br/>
              <w:t xml:space="preserve">du reste de l’introduction, correspondant au titre du document et assez claire pour tenir compte de son ensemble. </w:t>
            </w:r>
          </w:p>
        </w:tc>
        <w:tc>
          <w:tcPr>
            <w:tcW w:w="426" w:type="dxa"/>
            <w:vAlign w:val="center"/>
          </w:tcPr>
          <w:p w14:paraId="34E33E3B" w14:textId="77777777" w:rsidR="00FF3871" w:rsidRPr="008734B9" w:rsidRDefault="00FF3871" w:rsidP="00455CF9">
            <w:pPr>
              <w:pStyle w:val="Sansinterligne"/>
              <w:spacing w:before="40" w:after="40"/>
              <w:ind w:left="-10"/>
              <w:jc w:val="center"/>
              <w:rPr>
                <w:sz w:val="22"/>
                <w:szCs w:val="22"/>
              </w:rPr>
            </w:pPr>
            <w:r w:rsidRPr="008734B9">
              <w:rPr>
                <w:sz w:val="22"/>
                <w:szCs w:val="22"/>
              </w:rPr>
              <w:t>2</w:t>
            </w:r>
          </w:p>
        </w:tc>
      </w:tr>
      <w:tr w:rsidR="00FF3871" w:rsidRPr="008734B9" w14:paraId="1B676065" w14:textId="77777777" w:rsidTr="00FF3871">
        <w:tc>
          <w:tcPr>
            <w:tcW w:w="9356" w:type="dxa"/>
          </w:tcPr>
          <w:p w14:paraId="38591FA0" w14:textId="77777777" w:rsidR="00FF3871" w:rsidRPr="008734B9" w:rsidRDefault="00FF3871" w:rsidP="00455CF9">
            <w:pPr>
              <w:pStyle w:val="Sansinterligne"/>
              <w:spacing w:before="80" w:after="80"/>
              <w:rPr>
                <w:b/>
                <w:sz w:val="22"/>
                <w:szCs w:val="22"/>
              </w:rPr>
            </w:pPr>
            <w:r w:rsidRPr="008734B9">
              <w:rPr>
                <w:b/>
                <w:sz w:val="22"/>
                <w:szCs w:val="22"/>
              </w:rPr>
              <w:t xml:space="preserve">L’annonce de plan est simple et claire </w:t>
            </w:r>
          </w:p>
        </w:tc>
        <w:tc>
          <w:tcPr>
            <w:tcW w:w="426" w:type="dxa"/>
            <w:shd w:val="clear" w:color="auto" w:fill="BFBFBF" w:themeFill="background1" w:themeFillShade="BF"/>
            <w:vAlign w:val="center"/>
          </w:tcPr>
          <w:p w14:paraId="4E1F21FA" w14:textId="77777777" w:rsidR="00FF3871" w:rsidRPr="008734B9" w:rsidRDefault="00FF3871" w:rsidP="00455CF9">
            <w:pPr>
              <w:pStyle w:val="Sansinterligne"/>
              <w:spacing w:before="80" w:after="80"/>
              <w:ind w:left="-10"/>
              <w:jc w:val="center"/>
              <w:rPr>
                <w:b/>
                <w:sz w:val="22"/>
                <w:szCs w:val="22"/>
              </w:rPr>
            </w:pPr>
          </w:p>
        </w:tc>
      </w:tr>
      <w:tr w:rsidR="00FF3871" w:rsidRPr="008734B9" w14:paraId="3AAF1A98" w14:textId="77777777" w:rsidTr="00FF3871">
        <w:tc>
          <w:tcPr>
            <w:tcW w:w="9356" w:type="dxa"/>
          </w:tcPr>
          <w:p w14:paraId="67E9BDBC" w14:textId="77777777" w:rsidR="00FF3871" w:rsidRPr="008734B9" w:rsidRDefault="00FF3871" w:rsidP="00455CF9">
            <w:pPr>
              <w:pStyle w:val="Sansinterligne"/>
              <w:spacing w:before="40" w:after="40"/>
              <w:ind w:left="171"/>
              <w:rPr>
                <w:i/>
                <w:sz w:val="22"/>
                <w:szCs w:val="22"/>
              </w:rPr>
            </w:pPr>
            <w:r>
              <w:rPr>
                <w:i/>
                <w:sz w:val="22"/>
                <w:szCs w:val="22"/>
              </w:rPr>
              <w:t xml:space="preserve">L’annonce est faite de bouts de phrases sans verbes, comme si les titres de partie étaient énumérés sans explication. Cette annonce ne permet pas de repérer facilement la cohérence ni la structure du plan.  </w:t>
            </w:r>
          </w:p>
        </w:tc>
        <w:tc>
          <w:tcPr>
            <w:tcW w:w="426" w:type="dxa"/>
            <w:vAlign w:val="center"/>
          </w:tcPr>
          <w:p w14:paraId="0D20B43C" w14:textId="77777777" w:rsidR="00FF3871" w:rsidRPr="008734B9" w:rsidRDefault="00FF3871" w:rsidP="00455CF9">
            <w:pPr>
              <w:pStyle w:val="Sansinterligne"/>
              <w:spacing w:before="40" w:after="40"/>
              <w:ind w:left="-10"/>
              <w:jc w:val="center"/>
              <w:rPr>
                <w:sz w:val="22"/>
                <w:szCs w:val="22"/>
              </w:rPr>
            </w:pPr>
            <w:r>
              <w:rPr>
                <w:sz w:val="22"/>
                <w:szCs w:val="22"/>
              </w:rPr>
              <w:t>0</w:t>
            </w:r>
          </w:p>
        </w:tc>
      </w:tr>
      <w:tr w:rsidR="00FF3871" w:rsidRPr="008734B9" w14:paraId="7F13945C" w14:textId="77777777" w:rsidTr="00FF3871">
        <w:tc>
          <w:tcPr>
            <w:tcW w:w="9356" w:type="dxa"/>
          </w:tcPr>
          <w:p w14:paraId="6A9C06EB" w14:textId="77777777" w:rsidR="00FF3871" w:rsidRPr="008734B9" w:rsidRDefault="00FF3871" w:rsidP="00455CF9">
            <w:pPr>
              <w:pStyle w:val="Sansinterligne"/>
              <w:spacing w:before="40" w:after="40"/>
              <w:ind w:left="171"/>
              <w:rPr>
                <w:i/>
                <w:sz w:val="22"/>
                <w:szCs w:val="22"/>
              </w:rPr>
            </w:pPr>
            <w:r w:rsidRPr="008734B9">
              <w:rPr>
                <w:i/>
                <w:sz w:val="22"/>
                <w:szCs w:val="22"/>
              </w:rPr>
              <w:t>Il est facile de repérer la structure. À chaque phrase correspond une partie.</w:t>
            </w:r>
            <w:r>
              <w:rPr>
                <w:i/>
                <w:sz w:val="22"/>
                <w:szCs w:val="22"/>
              </w:rPr>
              <w:t xml:space="preserve"> </w:t>
            </w:r>
          </w:p>
        </w:tc>
        <w:tc>
          <w:tcPr>
            <w:tcW w:w="426" w:type="dxa"/>
            <w:vAlign w:val="center"/>
          </w:tcPr>
          <w:p w14:paraId="7EC24D11" w14:textId="77777777" w:rsidR="00FF3871" w:rsidRPr="008734B9" w:rsidRDefault="00FF3871" w:rsidP="00455CF9">
            <w:pPr>
              <w:pStyle w:val="Sansinterligne"/>
              <w:spacing w:before="40" w:after="40"/>
              <w:ind w:left="-10"/>
              <w:jc w:val="center"/>
              <w:rPr>
                <w:sz w:val="22"/>
                <w:szCs w:val="22"/>
              </w:rPr>
            </w:pPr>
            <w:r w:rsidRPr="008734B9">
              <w:rPr>
                <w:sz w:val="22"/>
                <w:szCs w:val="22"/>
              </w:rPr>
              <w:t>1</w:t>
            </w:r>
          </w:p>
        </w:tc>
      </w:tr>
      <w:tr w:rsidR="00FF3871" w:rsidRPr="008734B9" w14:paraId="0E9D90D0" w14:textId="77777777" w:rsidTr="00FF3871">
        <w:tc>
          <w:tcPr>
            <w:tcW w:w="9356" w:type="dxa"/>
          </w:tcPr>
          <w:p w14:paraId="2D2F921F" w14:textId="77777777" w:rsidR="00FF3871" w:rsidRPr="008734B9" w:rsidRDefault="00FF3871" w:rsidP="00455CF9">
            <w:pPr>
              <w:pStyle w:val="Sansinterligne"/>
              <w:spacing w:before="40" w:after="40"/>
              <w:ind w:left="171"/>
              <w:rPr>
                <w:i/>
                <w:sz w:val="22"/>
                <w:szCs w:val="22"/>
              </w:rPr>
            </w:pPr>
            <w:r>
              <w:rPr>
                <w:i/>
                <w:sz w:val="22"/>
                <w:szCs w:val="22"/>
              </w:rPr>
              <w:t>Les phrases font ressortir la démonstration interne à chacune des parties. Elles</w:t>
            </w:r>
            <w:r w:rsidRPr="008734B9">
              <w:rPr>
                <w:i/>
                <w:sz w:val="22"/>
                <w:szCs w:val="22"/>
              </w:rPr>
              <w:t xml:space="preserve"> sont reliées par des connecteurs logiques (autres qu’une </w:t>
            </w:r>
            <w:r w:rsidR="00501756">
              <w:rPr>
                <w:i/>
                <w:sz w:val="22"/>
                <w:szCs w:val="22"/>
              </w:rPr>
              <w:t>énumération scolaire</w:t>
            </w:r>
            <w:r w:rsidRPr="008734B9">
              <w:rPr>
                <w:i/>
                <w:sz w:val="22"/>
                <w:szCs w:val="22"/>
              </w:rPr>
              <w:t>), qui permettent de comprendre le fil argumentatif</w:t>
            </w:r>
            <w:r>
              <w:rPr>
                <w:i/>
                <w:sz w:val="22"/>
                <w:szCs w:val="22"/>
              </w:rPr>
              <w:t xml:space="preserve"> général</w:t>
            </w:r>
            <w:r w:rsidRPr="008734B9">
              <w:rPr>
                <w:i/>
                <w:sz w:val="22"/>
                <w:szCs w:val="22"/>
              </w:rPr>
              <w:t xml:space="preserve">. </w:t>
            </w:r>
          </w:p>
        </w:tc>
        <w:tc>
          <w:tcPr>
            <w:tcW w:w="426" w:type="dxa"/>
            <w:vAlign w:val="center"/>
          </w:tcPr>
          <w:p w14:paraId="15057D1D" w14:textId="77777777" w:rsidR="00FF3871" w:rsidRPr="008734B9" w:rsidRDefault="00FF3871" w:rsidP="00455CF9">
            <w:pPr>
              <w:pStyle w:val="Sansinterligne"/>
              <w:spacing w:before="40" w:after="40"/>
              <w:ind w:left="-10"/>
              <w:jc w:val="center"/>
              <w:rPr>
                <w:sz w:val="22"/>
                <w:szCs w:val="22"/>
              </w:rPr>
            </w:pPr>
            <w:r w:rsidRPr="008734B9">
              <w:rPr>
                <w:sz w:val="22"/>
                <w:szCs w:val="22"/>
              </w:rPr>
              <w:t>2</w:t>
            </w:r>
          </w:p>
        </w:tc>
      </w:tr>
    </w:tbl>
    <w:p w14:paraId="4DC935C8" w14:textId="77777777" w:rsidR="00D92B49" w:rsidRPr="001876DF" w:rsidRDefault="005A69CD" w:rsidP="00196846">
      <w:pPr>
        <w:pStyle w:val="Titre1"/>
        <w:spacing w:before="240"/>
      </w:pPr>
      <w:r>
        <w:sym w:font="Wingdings" w:char="F026"/>
      </w:r>
      <w:r>
        <w:t xml:space="preserve"> </w:t>
      </w:r>
      <w:r w:rsidR="00D92B49" w:rsidRPr="001876DF">
        <w:t>Bibliographie sélective</w:t>
      </w:r>
      <w:r w:rsidR="00083487">
        <w:t xml:space="preserve"> </w:t>
      </w:r>
    </w:p>
    <w:p w14:paraId="3B2118AA" w14:textId="77777777" w:rsidR="00540000" w:rsidRPr="00551061" w:rsidRDefault="00540000" w:rsidP="00551061">
      <w:pPr>
        <w:pStyle w:val="Sansinterligne"/>
        <w:spacing w:before="120" w:after="120" w:line="276" w:lineRule="auto"/>
        <w:rPr>
          <w:sz w:val="21"/>
          <w:szCs w:val="21"/>
        </w:rPr>
      </w:pPr>
      <w:r w:rsidRPr="00551061">
        <w:rPr>
          <w:smallCaps/>
          <w:sz w:val="21"/>
          <w:szCs w:val="21"/>
        </w:rPr>
        <w:t xml:space="preserve">Wirth, </w:t>
      </w:r>
      <w:r w:rsidRPr="00551061">
        <w:rPr>
          <w:sz w:val="21"/>
          <w:szCs w:val="21"/>
        </w:rPr>
        <w:t xml:space="preserve">Jean, </w:t>
      </w:r>
      <w:r w:rsidRPr="00551061">
        <w:rPr>
          <w:i/>
          <w:sz w:val="21"/>
          <w:szCs w:val="21"/>
        </w:rPr>
        <w:t>La sorcellerie et sa répression en Europe</w:t>
      </w:r>
      <w:r w:rsidRPr="00551061">
        <w:rPr>
          <w:sz w:val="21"/>
          <w:szCs w:val="21"/>
        </w:rPr>
        <w:t>, Genève, Droz, 2023</w:t>
      </w:r>
      <w:r w:rsidR="00551061">
        <w:rPr>
          <w:sz w:val="21"/>
          <w:szCs w:val="21"/>
        </w:rPr>
        <w:t>, p. 119-146</w:t>
      </w:r>
      <w:r w:rsidRPr="00551061">
        <w:rPr>
          <w:sz w:val="21"/>
          <w:szCs w:val="21"/>
        </w:rPr>
        <w:t xml:space="preserve">. </w:t>
      </w:r>
    </w:p>
    <w:p w14:paraId="7FBC17E2" w14:textId="77777777" w:rsidR="00540000" w:rsidRPr="00551061" w:rsidRDefault="00540000" w:rsidP="00551061">
      <w:pPr>
        <w:pStyle w:val="Sansinterligne"/>
        <w:spacing w:before="120" w:after="120" w:line="276" w:lineRule="auto"/>
        <w:rPr>
          <w:sz w:val="21"/>
          <w:szCs w:val="21"/>
        </w:rPr>
      </w:pPr>
      <w:r w:rsidRPr="00551061">
        <w:rPr>
          <w:smallCaps/>
          <w:sz w:val="21"/>
          <w:szCs w:val="21"/>
        </w:rPr>
        <w:t>Jacques-</w:t>
      </w:r>
      <w:proofErr w:type="spellStart"/>
      <w:r w:rsidRPr="00551061">
        <w:rPr>
          <w:smallCaps/>
          <w:sz w:val="21"/>
          <w:szCs w:val="21"/>
        </w:rPr>
        <w:t>Chaquin</w:t>
      </w:r>
      <w:proofErr w:type="spellEnd"/>
      <w:r w:rsidRPr="00551061">
        <w:rPr>
          <w:sz w:val="21"/>
          <w:szCs w:val="21"/>
        </w:rPr>
        <w:t xml:space="preserve">, Nicole, « Sorcellerie, Sorciers », dans François </w:t>
      </w:r>
      <w:proofErr w:type="spellStart"/>
      <w:r w:rsidRPr="00551061">
        <w:rPr>
          <w:smallCaps/>
          <w:sz w:val="21"/>
          <w:szCs w:val="21"/>
        </w:rPr>
        <w:t>Bluche</w:t>
      </w:r>
      <w:proofErr w:type="spellEnd"/>
      <w:r w:rsidRPr="00551061">
        <w:rPr>
          <w:sz w:val="21"/>
          <w:szCs w:val="21"/>
        </w:rPr>
        <w:t xml:space="preserve"> (dir.), </w:t>
      </w:r>
      <w:r w:rsidRPr="00551061">
        <w:rPr>
          <w:sz w:val="21"/>
          <w:szCs w:val="21"/>
        </w:rPr>
        <w:br/>
        <w:t xml:space="preserve">  </w:t>
      </w:r>
      <w:r w:rsidRPr="00551061">
        <w:rPr>
          <w:i/>
          <w:sz w:val="21"/>
          <w:szCs w:val="21"/>
        </w:rPr>
        <w:t>Dictionnaire du Grand Siècle</w:t>
      </w:r>
      <w:r w:rsidRPr="00551061">
        <w:rPr>
          <w:sz w:val="21"/>
          <w:szCs w:val="21"/>
        </w:rPr>
        <w:t xml:space="preserve">, Paris, Fayard, 1990, p. 1459-1460. </w:t>
      </w:r>
    </w:p>
    <w:p w14:paraId="6DED290B" w14:textId="77777777" w:rsidR="004758FB" w:rsidRPr="00551061" w:rsidRDefault="004758FB" w:rsidP="00551061">
      <w:pPr>
        <w:pStyle w:val="Sansinterligne"/>
        <w:spacing w:before="120" w:after="120" w:line="276" w:lineRule="auto"/>
        <w:rPr>
          <w:sz w:val="21"/>
          <w:szCs w:val="21"/>
        </w:rPr>
      </w:pPr>
      <w:proofErr w:type="spellStart"/>
      <w:r w:rsidRPr="00551061">
        <w:rPr>
          <w:smallCaps/>
          <w:sz w:val="21"/>
          <w:szCs w:val="21"/>
        </w:rPr>
        <w:t>Diedler</w:t>
      </w:r>
      <w:proofErr w:type="spellEnd"/>
      <w:r w:rsidRPr="00551061">
        <w:rPr>
          <w:sz w:val="21"/>
          <w:szCs w:val="21"/>
        </w:rPr>
        <w:t xml:space="preserve">, Jean-Claude, « Un procès de sorcellerie en Lorraine du Sud au début du </w:t>
      </w:r>
      <w:proofErr w:type="spellStart"/>
      <w:r w:rsidRPr="00551061">
        <w:rPr>
          <w:smallCaps/>
          <w:sz w:val="21"/>
          <w:szCs w:val="21"/>
        </w:rPr>
        <w:t>xvii</w:t>
      </w:r>
      <w:r w:rsidRPr="00551061">
        <w:rPr>
          <w:sz w:val="21"/>
          <w:szCs w:val="21"/>
          <w:vertAlign w:val="superscript"/>
        </w:rPr>
        <w:t>e</w:t>
      </w:r>
      <w:proofErr w:type="spellEnd"/>
      <w:r w:rsidRPr="00551061">
        <w:rPr>
          <w:sz w:val="21"/>
          <w:szCs w:val="21"/>
        </w:rPr>
        <w:t xml:space="preserve"> siècle », </w:t>
      </w:r>
      <w:r w:rsidRPr="00551061">
        <w:rPr>
          <w:sz w:val="21"/>
          <w:szCs w:val="21"/>
        </w:rPr>
        <w:br/>
        <w:t xml:space="preserve">  </w:t>
      </w:r>
      <w:r w:rsidRPr="00551061">
        <w:rPr>
          <w:i/>
          <w:sz w:val="21"/>
          <w:szCs w:val="21"/>
        </w:rPr>
        <w:t>Histoire &amp; Sociétés Rurales</w:t>
      </w:r>
      <w:r w:rsidRPr="00551061">
        <w:rPr>
          <w:sz w:val="21"/>
          <w:szCs w:val="21"/>
        </w:rPr>
        <w:t xml:space="preserve">, 7-1, 1997, p. 133-172. </w:t>
      </w:r>
    </w:p>
    <w:p w14:paraId="3E4C7339" w14:textId="77777777" w:rsidR="0069039E" w:rsidRPr="00551061" w:rsidRDefault="0069039E" w:rsidP="00551061">
      <w:pPr>
        <w:pStyle w:val="Sansinterligne"/>
        <w:spacing w:before="120" w:after="120" w:line="276" w:lineRule="auto"/>
        <w:rPr>
          <w:sz w:val="21"/>
          <w:szCs w:val="21"/>
        </w:rPr>
      </w:pPr>
      <w:proofErr w:type="spellStart"/>
      <w:r w:rsidRPr="00551061">
        <w:rPr>
          <w:smallCaps/>
          <w:sz w:val="21"/>
          <w:szCs w:val="21"/>
        </w:rPr>
        <w:t>Diedler</w:t>
      </w:r>
      <w:proofErr w:type="spellEnd"/>
      <w:r w:rsidRPr="00551061">
        <w:rPr>
          <w:sz w:val="21"/>
          <w:szCs w:val="21"/>
        </w:rPr>
        <w:t xml:space="preserve">, Jean-Claude, « Le corps empoisonné dans l’imaginaire des populations rurales. L’exemple des </w:t>
      </w:r>
      <w:r w:rsidR="00551061">
        <w:rPr>
          <w:sz w:val="21"/>
          <w:szCs w:val="21"/>
        </w:rPr>
        <w:br/>
        <w:t xml:space="preserve">  </w:t>
      </w:r>
      <w:r w:rsidRPr="00551061">
        <w:rPr>
          <w:sz w:val="21"/>
          <w:szCs w:val="21"/>
        </w:rPr>
        <w:t>communautés</w:t>
      </w:r>
      <w:r w:rsidR="00551061">
        <w:rPr>
          <w:sz w:val="21"/>
          <w:szCs w:val="21"/>
        </w:rPr>
        <w:t xml:space="preserve"> </w:t>
      </w:r>
      <w:r w:rsidRPr="00551061">
        <w:rPr>
          <w:sz w:val="21"/>
          <w:szCs w:val="21"/>
        </w:rPr>
        <w:t>du sud de la Lorraine (</w:t>
      </w:r>
      <w:proofErr w:type="spellStart"/>
      <w:r w:rsidRPr="00551061">
        <w:rPr>
          <w:smallCaps/>
          <w:sz w:val="21"/>
          <w:szCs w:val="21"/>
        </w:rPr>
        <w:t>xvi</w:t>
      </w:r>
      <w:r w:rsidRPr="00551061">
        <w:rPr>
          <w:sz w:val="21"/>
          <w:szCs w:val="21"/>
          <w:vertAlign w:val="superscript"/>
        </w:rPr>
        <w:t>e</w:t>
      </w:r>
      <w:proofErr w:type="spellEnd"/>
      <w:r w:rsidRPr="00551061">
        <w:rPr>
          <w:sz w:val="21"/>
          <w:szCs w:val="21"/>
        </w:rPr>
        <w:t xml:space="preserve"> – </w:t>
      </w:r>
      <w:proofErr w:type="spellStart"/>
      <w:r w:rsidRPr="00551061">
        <w:rPr>
          <w:smallCaps/>
          <w:sz w:val="21"/>
          <w:szCs w:val="21"/>
        </w:rPr>
        <w:t>xvii</w:t>
      </w:r>
      <w:r w:rsidRPr="00551061">
        <w:rPr>
          <w:sz w:val="21"/>
          <w:szCs w:val="21"/>
          <w:vertAlign w:val="superscript"/>
        </w:rPr>
        <w:t>e</w:t>
      </w:r>
      <w:proofErr w:type="spellEnd"/>
      <w:r w:rsidRPr="00551061">
        <w:rPr>
          <w:sz w:val="21"/>
          <w:szCs w:val="21"/>
        </w:rPr>
        <w:t xml:space="preserve"> siècle) », dans Lydie </w:t>
      </w:r>
      <w:proofErr w:type="spellStart"/>
      <w:r w:rsidRPr="00551061">
        <w:rPr>
          <w:smallCaps/>
          <w:sz w:val="21"/>
          <w:szCs w:val="21"/>
        </w:rPr>
        <w:t>Bodiou</w:t>
      </w:r>
      <w:proofErr w:type="spellEnd"/>
      <w:r w:rsidRPr="00551061">
        <w:rPr>
          <w:sz w:val="21"/>
          <w:szCs w:val="21"/>
        </w:rPr>
        <w:t xml:space="preserve">, Frédéric </w:t>
      </w:r>
      <w:proofErr w:type="spellStart"/>
      <w:r w:rsidRPr="00551061">
        <w:rPr>
          <w:smallCaps/>
          <w:sz w:val="21"/>
          <w:szCs w:val="21"/>
        </w:rPr>
        <w:t>Chauvaud</w:t>
      </w:r>
      <w:proofErr w:type="spellEnd"/>
      <w:r w:rsidRPr="00551061">
        <w:rPr>
          <w:sz w:val="21"/>
          <w:szCs w:val="21"/>
        </w:rPr>
        <w:t xml:space="preserve">, Myriam </w:t>
      </w:r>
      <w:r w:rsidR="00551061">
        <w:rPr>
          <w:sz w:val="21"/>
          <w:szCs w:val="21"/>
        </w:rPr>
        <w:br/>
        <w:t xml:space="preserve">  </w:t>
      </w:r>
      <w:r w:rsidRPr="00551061">
        <w:rPr>
          <w:smallCaps/>
          <w:sz w:val="21"/>
          <w:szCs w:val="21"/>
        </w:rPr>
        <w:t>Soria</w:t>
      </w:r>
      <w:r w:rsidRPr="00551061">
        <w:rPr>
          <w:sz w:val="21"/>
          <w:szCs w:val="21"/>
        </w:rPr>
        <w:t xml:space="preserve"> (dir.),</w:t>
      </w:r>
      <w:r w:rsidR="00551061">
        <w:rPr>
          <w:sz w:val="21"/>
          <w:szCs w:val="21"/>
        </w:rPr>
        <w:t xml:space="preserve"> </w:t>
      </w:r>
      <w:r w:rsidRPr="00551061">
        <w:rPr>
          <w:i/>
          <w:sz w:val="21"/>
          <w:szCs w:val="21"/>
        </w:rPr>
        <w:t>Le Corps empoisonné. Pratiques, savoirs, imaginaire de l’Antiquité à nos jours</w:t>
      </w:r>
      <w:r w:rsidRPr="00551061">
        <w:rPr>
          <w:sz w:val="21"/>
          <w:szCs w:val="21"/>
        </w:rPr>
        <w:t xml:space="preserve">, </w:t>
      </w:r>
      <w:r w:rsidR="00D822E3" w:rsidRPr="00551061">
        <w:rPr>
          <w:sz w:val="21"/>
          <w:szCs w:val="21"/>
        </w:rPr>
        <w:t xml:space="preserve">Paris, Garnier, 2013, </w:t>
      </w:r>
      <w:r w:rsidRPr="00551061">
        <w:rPr>
          <w:sz w:val="21"/>
          <w:szCs w:val="21"/>
        </w:rPr>
        <w:t xml:space="preserve">p. 75-91. </w:t>
      </w:r>
    </w:p>
    <w:p w14:paraId="15ED1EA9" w14:textId="77777777" w:rsidR="00D92B49" w:rsidRDefault="005A69CD" w:rsidP="00196846">
      <w:pPr>
        <w:pStyle w:val="Titre1"/>
        <w:spacing w:before="240"/>
      </w:pPr>
      <w:r w:rsidRPr="00C74236">
        <w:sym w:font="Wingdings" w:char="F025"/>
      </w:r>
      <w:r w:rsidR="00D92B49" w:rsidRPr="001876DF">
        <w:t xml:space="preserve"> L’actualité de la recherche</w:t>
      </w:r>
      <w:r w:rsidR="00D92B49">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1907"/>
      </w:tblGrid>
      <w:tr w:rsidR="0041082C" w14:paraId="4856F49A" w14:textId="77777777" w:rsidTr="0041082C">
        <w:tc>
          <w:tcPr>
            <w:tcW w:w="9278" w:type="dxa"/>
            <w:gridSpan w:val="2"/>
            <w:vAlign w:val="center"/>
          </w:tcPr>
          <w:p w14:paraId="44BE01C6" w14:textId="77777777" w:rsidR="0041082C" w:rsidRPr="002151F8" w:rsidRDefault="0041082C" w:rsidP="00110DBF">
            <w:pPr>
              <w:pStyle w:val="Biblio"/>
              <w:spacing w:before="0"/>
            </w:pPr>
            <w:r w:rsidRPr="0041082C">
              <w:rPr>
                <w:smallCaps w:val="0"/>
              </w:rPr>
              <w:t xml:space="preserve">Michelle </w:t>
            </w:r>
            <w:proofErr w:type="spellStart"/>
            <w:r w:rsidRPr="0041082C">
              <w:t>Zancarini-Fournel</w:t>
            </w:r>
            <w:proofErr w:type="spellEnd"/>
            <w:r w:rsidRPr="0041082C">
              <w:rPr>
                <w:smallCaps w:val="0"/>
              </w:rPr>
              <w:t xml:space="preserve">, </w:t>
            </w:r>
            <w:r w:rsidRPr="0041082C">
              <w:rPr>
                <w:i/>
                <w:smallCaps w:val="0"/>
              </w:rPr>
              <w:t>Sorcières et sorciers. Histoire et mythes</w:t>
            </w:r>
            <w:r w:rsidRPr="0041082C">
              <w:rPr>
                <w:smallCaps w:val="0"/>
              </w:rPr>
              <w:t xml:space="preserve">, Paris, </w:t>
            </w:r>
            <w:proofErr w:type="spellStart"/>
            <w:r w:rsidRPr="0041082C">
              <w:rPr>
                <w:smallCaps w:val="0"/>
              </w:rPr>
              <w:t>Libertalia</w:t>
            </w:r>
            <w:proofErr w:type="spellEnd"/>
            <w:r w:rsidRPr="0041082C">
              <w:rPr>
                <w:smallCaps w:val="0"/>
              </w:rPr>
              <w:t xml:space="preserve">, 2024. </w:t>
            </w:r>
          </w:p>
        </w:tc>
      </w:tr>
      <w:tr w:rsidR="0041082C" w14:paraId="0128EE5B" w14:textId="77777777" w:rsidTr="00A70C85">
        <w:trPr>
          <w:trHeight w:val="1887"/>
        </w:trPr>
        <w:tc>
          <w:tcPr>
            <w:tcW w:w="7371" w:type="dxa"/>
          </w:tcPr>
          <w:p w14:paraId="4AF29275" w14:textId="77777777" w:rsidR="0041082C" w:rsidRPr="00154432" w:rsidRDefault="0041082C" w:rsidP="00A70C85">
            <w:pPr>
              <w:pStyle w:val="Sansinterligne"/>
              <w:ind w:left="177"/>
              <w:jc w:val="both"/>
              <w:rPr>
                <w:i/>
                <w:sz w:val="21"/>
                <w:szCs w:val="20"/>
              </w:rPr>
            </w:pPr>
            <w:r w:rsidRPr="00154432">
              <w:rPr>
                <w:i/>
                <w:sz w:val="21"/>
              </w:rPr>
              <w:t xml:space="preserve">À la suite de Mona </w:t>
            </w:r>
            <w:r w:rsidRPr="00154432">
              <w:rPr>
                <w:i/>
                <w:smallCaps/>
                <w:sz w:val="21"/>
              </w:rPr>
              <w:t>Chollet</w:t>
            </w:r>
            <w:r w:rsidRPr="00154432">
              <w:rPr>
                <w:i/>
                <w:sz w:val="21"/>
              </w:rPr>
              <w:t>, dont l’ouvrage Sorcières (La Découverte, 201</w:t>
            </w:r>
            <w:r w:rsidR="007E4C1F">
              <w:rPr>
                <w:i/>
                <w:sz w:val="21"/>
              </w:rPr>
              <w:t>8</w:t>
            </w:r>
            <w:r w:rsidRPr="00154432">
              <w:rPr>
                <w:i/>
                <w:sz w:val="21"/>
              </w:rPr>
              <w:t xml:space="preserve">) a eu un succès retentissant auprès du grand public, l’historienne Michelle </w:t>
            </w:r>
            <w:proofErr w:type="spellStart"/>
            <w:r w:rsidRPr="00154432">
              <w:rPr>
                <w:i/>
                <w:smallCaps/>
                <w:sz w:val="21"/>
              </w:rPr>
              <w:t>Zancarini-Fournel</w:t>
            </w:r>
            <w:proofErr w:type="spellEnd"/>
            <w:r w:rsidRPr="00154432">
              <w:rPr>
                <w:i/>
                <w:sz w:val="21"/>
              </w:rPr>
              <w:t xml:space="preserve">, professeure émérite de l’université Lyon 1, autorité française en histoire des femmes et du genre, revient sur la sorcellerie et son histoire depuis la fin du Moyen Âge. Cette histoire est celle d’un fait judiciaire souvent limité aux condamnations à mort – alors qu’elles sont </w:t>
            </w:r>
            <w:proofErr w:type="spellStart"/>
            <w:r w:rsidRPr="00154432">
              <w:rPr>
                <w:i/>
                <w:sz w:val="21"/>
              </w:rPr>
              <w:t>ultraminoritaires</w:t>
            </w:r>
            <w:proofErr w:type="spellEnd"/>
            <w:r w:rsidRPr="00154432">
              <w:rPr>
                <w:i/>
                <w:sz w:val="21"/>
              </w:rPr>
              <w:t xml:space="preserve"> – et aux condamnations de femmes – qui ne sont pas les seules à être accusées de sorcellerie. Ce faisant, Michelle </w:t>
            </w:r>
            <w:proofErr w:type="spellStart"/>
            <w:r w:rsidRPr="00154432">
              <w:rPr>
                <w:i/>
                <w:sz w:val="21"/>
              </w:rPr>
              <w:t>Zancarini-Fournel</w:t>
            </w:r>
            <w:proofErr w:type="spellEnd"/>
            <w:r w:rsidRPr="00154432">
              <w:rPr>
                <w:i/>
                <w:sz w:val="21"/>
              </w:rPr>
              <w:t xml:space="preserve"> déconstruit des mythes à la dent dure et rappelle combien il serait dangereux d’instrumentaliser l’histoire à des fins militantes</w:t>
            </w:r>
            <w:r w:rsidRPr="00154432">
              <w:rPr>
                <w:i/>
                <w:sz w:val="21"/>
                <w:szCs w:val="20"/>
              </w:rPr>
              <w:t>.</w:t>
            </w:r>
          </w:p>
        </w:tc>
        <w:tc>
          <w:tcPr>
            <w:tcW w:w="1907" w:type="dxa"/>
          </w:tcPr>
          <w:p w14:paraId="56E97C87" w14:textId="77777777" w:rsidR="0041082C" w:rsidRDefault="0041082C" w:rsidP="00A70C85">
            <w:pPr>
              <w:pStyle w:val="Sansinterligne"/>
              <w:spacing w:after="60"/>
              <w:jc w:val="right"/>
            </w:pPr>
            <w:r w:rsidRPr="0041082C">
              <w:rPr>
                <w:i/>
              </w:rPr>
              <w:t xml:space="preserve">C’est l’autrice qui en </w:t>
            </w:r>
            <w:r>
              <w:rPr>
                <w:i/>
              </w:rPr>
              <w:br/>
            </w:r>
            <w:r w:rsidRPr="0041082C">
              <w:rPr>
                <w:i/>
              </w:rPr>
              <w:t xml:space="preserve">parle le mieux, </w:t>
            </w:r>
            <w:r>
              <w:rPr>
                <w:i/>
              </w:rPr>
              <w:br/>
            </w:r>
            <w:r w:rsidRPr="0041082C">
              <w:rPr>
                <w:i/>
              </w:rPr>
              <w:t>ici sur Radio France</w:t>
            </w:r>
            <w:r>
              <w:t xml:space="preserve"> </w:t>
            </w:r>
            <w:r w:rsidRPr="005A69CD">
              <w:sym w:font="Wingdings" w:char="F0E2"/>
            </w:r>
          </w:p>
          <w:p w14:paraId="565B21B5" w14:textId="77777777" w:rsidR="0041082C" w:rsidRDefault="0041082C" w:rsidP="0041082C">
            <w:pPr>
              <w:pStyle w:val="Sansinterligne"/>
              <w:jc w:val="right"/>
            </w:pPr>
            <w:r>
              <w:rPr>
                <w:noProof/>
              </w:rPr>
              <w:drawing>
                <wp:inline distT="0" distB="0" distL="0" distR="0" wp14:anchorId="5B45E166" wp14:editId="22E4F972">
                  <wp:extent cx="718515" cy="720000"/>
                  <wp:effectExtent l="0" t="0" r="5715" b="4445"/>
                  <wp:docPr id="13" name="Image 13">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a:hlinkClick r:id="rId27"/>
                          </pic:cNvPr>
                          <pic:cNvPicPr/>
                        </pic:nvPicPr>
                        <pic:blipFill rotWithShape="1">
                          <a:blip r:embed="rId28" cstate="print">
                            <a:extLst>
                              <a:ext uri="{28A0092B-C50C-407E-A947-70E740481C1C}">
                                <a14:useLocalDpi xmlns:a14="http://schemas.microsoft.com/office/drawing/2010/main" val="0"/>
                              </a:ext>
                            </a:extLst>
                          </a:blip>
                          <a:srcRect l="2351" t="2547" r="2793" b="2401"/>
                          <a:stretch/>
                        </pic:blipFill>
                        <pic:spPr bwMode="auto">
                          <a:xfrm>
                            <a:off x="0" y="0"/>
                            <a:ext cx="718515" cy="72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A4CC51E" w14:textId="77777777" w:rsidR="00D92B49" w:rsidRPr="001876DF" w:rsidRDefault="00D92B49" w:rsidP="00620E44"/>
    <w:p w14:paraId="0E32E240" w14:textId="77777777" w:rsidR="00D92B49" w:rsidRDefault="00D92B49" w:rsidP="00620E44">
      <w:pPr>
        <w:sectPr w:rsidR="00D92B49" w:rsidSect="00A77E43">
          <w:type w:val="oddPage"/>
          <w:pgSz w:w="11906" w:h="16838"/>
          <w:pgMar w:top="964" w:right="1304" w:bottom="906" w:left="1304" w:header="709" w:footer="709" w:gutter="0"/>
          <w:cols w:space="708"/>
          <w:docGrid w:linePitch="360"/>
        </w:sectPr>
      </w:pPr>
    </w:p>
    <w:p w14:paraId="511E61C4" w14:textId="77777777" w:rsidR="00A77E43" w:rsidRDefault="00A77E43" w:rsidP="00620E44">
      <w:pPr>
        <w:pStyle w:val="Titre"/>
        <w:sectPr w:rsidR="00A77E43" w:rsidSect="002151F8">
          <w:type w:val="evenPage"/>
          <w:pgSz w:w="11906" w:h="16838"/>
          <w:pgMar w:top="964" w:right="1304" w:bottom="1134" w:left="1304" w:header="709" w:footer="709" w:gutter="0"/>
          <w:cols w:space="708"/>
          <w:docGrid w:linePitch="360"/>
        </w:sectPr>
      </w:pPr>
      <w:bookmarkStart w:id="7" w:name="_Toc185425567"/>
    </w:p>
    <w:p w14:paraId="15997A5A" w14:textId="77777777" w:rsidR="00D92B49" w:rsidRPr="00604579" w:rsidRDefault="00D92B49" w:rsidP="00620E44">
      <w:pPr>
        <w:pStyle w:val="Titre"/>
        <w:rPr>
          <w:b/>
        </w:rPr>
      </w:pPr>
      <w:r w:rsidRPr="009D6DD9">
        <w:lastRenderedPageBreak/>
        <w:t xml:space="preserve">Séance </w:t>
      </w:r>
      <w:r>
        <w:t>4</w:t>
      </w:r>
      <w:r w:rsidRPr="009D6DD9">
        <w:br/>
      </w:r>
      <w:r w:rsidR="001D7D90" w:rsidRPr="00604579">
        <w:rPr>
          <w:b/>
        </w:rPr>
        <w:t>Apporter des connaissances externes à une source</w:t>
      </w:r>
      <w:bookmarkEnd w:id="7"/>
      <w:r w:rsidRPr="00604579">
        <w:rPr>
          <w:b/>
        </w:rPr>
        <w:t xml:space="preserve">  </w:t>
      </w:r>
    </w:p>
    <w:p w14:paraId="3BF79E45" w14:textId="77777777" w:rsidR="00D92B49" w:rsidRPr="001876DF" w:rsidRDefault="00D92B49" w:rsidP="00620E44">
      <w:pPr>
        <w:pStyle w:val="Titre1"/>
      </w:pPr>
      <w:r w:rsidRPr="001876DF">
        <w:t xml:space="preserve">Document 1. </w:t>
      </w:r>
      <w:r w:rsidR="0000002D" w:rsidRPr="0000002D">
        <w:t>Le fonctionnement idéal de la cour selon Catherine de Médicis (1576)</w:t>
      </w:r>
    </w:p>
    <w:p w14:paraId="257F9329" w14:textId="77777777" w:rsidR="00694642" w:rsidRPr="00694642" w:rsidRDefault="00694642" w:rsidP="00620E44">
      <w:r w:rsidRPr="00694642">
        <w:t>Monsieur mon fils, vous ayant déjà envoyé ce que j’ai pensé vous satisfaire, avant que d’aller à Gaillon,</w:t>
      </w:r>
      <w:r w:rsidR="00E16D32">
        <w:t xml:space="preserve"> </w:t>
      </w:r>
      <w:r w:rsidRPr="00694642">
        <w:t>il m’a semblé qu’il restait encore ce que j’estime aussi nécessaire pour vous faire obéir à tout votre royaume et</w:t>
      </w:r>
      <w:r w:rsidR="00E16D32">
        <w:t xml:space="preserve"> </w:t>
      </w:r>
      <w:r w:rsidRPr="00694642">
        <w:t>connaître combien désirez le revoir en l’état auquel il a été par le passé durant les règnes des rois messeigneurs</w:t>
      </w:r>
      <w:r w:rsidR="00E16D32">
        <w:t xml:space="preserve"> </w:t>
      </w:r>
      <w:r w:rsidRPr="00694642">
        <w:t>vos père et grand-père ; et pour y parvenir, je pense qu’il n’y a rien qui vous serve tant que de voir que aimez</w:t>
      </w:r>
      <w:r w:rsidR="00E16D32">
        <w:t xml:space="preserve"> </w:t>
      </w:r>
      <w:r w:rsidRPr="00694642">
        <w:t>les choses réglées et ordonnées, et tellement policées, que l’on connaisse les désordres qui ont été jusqu’ici par</w:t>
      </w:r>
      <w:r w:rsidR="00E16D32">
        <w:t xml:space="preserve"> </w:t>
      </w:r>
      <w:r w:rsidRPr="00694642">
        <w:t>la minorité du roi votre frère, qui empêchait que l’on ne pouvait ce que l’on désirait ; que cela vous a tant déplu</w:t>
      </w:r>
      <w:r w:rsidR="00E16D32">
        <w:t xml:space="preserve"> </w:t>
      </w:r>
      <w:r w:rsidRPr="00694642">
        <w:t xml:space="preserve">que incontinent qu’avez eu le moyen d’y remédier et de tout régler par la paix que Dieu vous a donnée, </w:t>
      </w:r>
      <w:r w:rsidR="009E6F38">
        <w:rPr>
          <w:rFonts w:ascii="Times New Roman" w:hAnsi="Times New Roman" w:cs="Times New Roman"/>
        </w:rPr>
        <w:t>[</w:t>
      </w:r>
      <w:r w:rsidR="009E6F38">
        <w:t>...</w:t>
      </w:r>
      <w:r w:rsidR="009E6F38">
        <w:rPr>
          <w:rFonts w:ascii="Times New Roman" w:hAnsi="Times New Roman" w:cs="Times New Roman"/>
        </w:rPr>
        <w:t>]</w:t>
      </w:r>
      <w:r w:rsidRPr="00694642">
        <w:t xml:space="preserve"> </w:t>
      </w:r>
      <w:r w:rsidR="009E6F38">
        <w:t>E</w:t>
      </w:r>
      <w:r w:rsidRPr="00694642">
        <w:t>t afin que en effet cela soit connu d’un</w:t>
      </w:r>
      <w:r w:rsidR="00E16D32">
        <w:t xml:space="preserve"> </w:t>
      </w:r>
      <w:r w:rsidRPr="00694642">
        <w:t>chacun, je désirerais que prissiez une heure certaine de vous lever, et pour contenter votre noblesse, faire comme</w:t>
      </w:r>
      <w:r w:rsidR="00E16D32">
        <w:t xml:space="preserve"> </w:t>
      </w:r>
      <w:r w:rsidRPr="00694642">
        <w:t>faisait le roi votre père ; car quand il prenait sa chemise, et que les habillements entraient, tous les princes,</w:t>
      </w:r>
      <w:r w:rsidR="00E16D32">
        <w:t xml:space="preserve"> </w:t>
      </w:r>
      <w:r w:rsidRPr="00694642">
        <w:t>seigneurs, capitaines, chevaliers de l’ordre, gentilshommes de la chambre, maîtres d’hôtel, gentilshommes</w:t>
      </w:r>
      <w:r w:rsidR="00E16D32">
        <w:t xml:space="preserve"> </w:t>
      </w:r>
      <w:r w:rsidRPr="00694642">
        <w:t>servants entraient lors, et il parlait à eux, et le voyaient, ce qui les contentait beaucoup.</w:t>
      </w:r>
      <w:r w:rsidR="00E16D32">
        <w:t xml:space="preserve"> </w:t>
      </w:r>
      <w:r w:rsidRPr="00694642">
        <w:t>Cela fait, s’en allait à ses affaires, et tous sortaient, hormis ceux qui en étaient et les quatre secrétaires.</w:t>
      </w:r>
    </w:p>
    <w:p w14:paraId="2A3D5A6C" w14:textId="77777777" w:rsidR="009E6F38" w:rsidRDefault="00694642" w:rsidP="00620E44">
      <w:r w:rsidRPr="00694642">
        <w:t>Si faisiez de même, cela les contenterait fort, pour être chose accoutumée de tous temps aux rois vos père et</w:t>
      </w:r>
      <w:r w:rsidR="00E16D32">
        <w:t xml:space="preserve"> </w:t>
      </w:r>
      <w:r w:rsidRPr="00694642">
        <w:t>grand-père ; et, après cela, que donnassiez une heure ou deux à ouïr les dépêches</w:t>
      </w:r>
      <w:r w:rsidR="00EB1214">
        <w:t>*</w:t>
      </w:r>
      <w:r w:rsidRPr="00694642">
        <w:t xml:space="preserve"> et affaires qui, sans votre</w:t>
      </w:r>
      <w:r w:rsidR="00E16D32">
        <w:t xml:space="preserve"> </w:t>
      </w:r>
      <w:r w:rsidRPr="00694642">
        <w:t>présence, ne se peuvent dépêcher, et ne passer les dix heures pour aller à la messe, que comme on avait</w:t>
      </w:r>
      <w:r w:rsidR="00E16D32">
        <w:t xml:space="preserve"> </w:t>
      </w:r>
      <w:r w:rsidRPr="00694642">
        <w:t>accoutumé aux rois vos père et grand-père, que tous les princes et seigneurs vous accompagnassent, et non</w:t>
      </w:r>
      <w:r w:rsidR="00E16D32">
        <w:t xml:space="preserve"> </w:t>
      </w:r>
      <w:r w:rsidRPr="00694642">
        <w:t>comme je vous vois aller, que n’avez que vos archers ; et au sortir de la messe, dînez, s’il est tard, ou sinon</w:t>
      </w:r>
      <w:r w:rsidR="00D92B49" w:rsidRPr="001876DF">
        <w:t>.</w:t>
      </w:r>
      <w:r w:rsidR="00E16D32">
        <w:t xml:space="preserve"> </w:t>
      </w:r>
      <w:r w:rsidRPr="00694642">
        <w:t>vous promenez pour votre santé, et ne passez onze heures que ne dîniez ; et après dîner, pour le moins deux</w:t>
      </w:r>
      <w:r w:rsidR="00E16D32">
        <w:t xml:space="preserve"> </w:t>
      </w:r>
      <w:r w:rsidRPr="00694642">
        <w:t>fois la semaine, donnez audience, qui est une chose qui contente infiniment vos sujets ; et après vous retirer et</w:t>
      </w:r>
      <w:r w:rsidR="00E16D32">
        <w:t xml:space="preserve"> </w:t>
      </w:r>
      <w:r w:rsidRPr="00694642">
        <w:t>venir chez moi ou chez la reine, afin que l’on connaisse une façon de cour, qui est chose qui plaît infiniment</w:t>
      </w:r>
      <w:r w:rsidR="00E16D32">
        <w:t xml:space="preserve"> </w:t>
      </w:r>
      <w:r w:rsidRPr="00694642">
        <w:t>aux Français, pour l’avoir accoutumé ; et ayant demeuré demi-heure ou heure en public, vous retirer à votre</w:t>
      </w:r>
      <w:r w:rsidR="00E16D32">
        <w:t xml:space="preserve"> </w:t>
      </w:r>
      <w:r w:rsidRPr="00694642">
        <w:t>étude, ou en privé, où bon semblera.</w:t>
      </w:r>
      <w:r w:rsidR="00E16D32">
        <w:t xml:space="preserve"> </w:t>
      </w:r>
      <w:r w:rsidR="00B35EC0">
        <w:rPr>
          <w:rFonts w:ascii="Times New Roman" w:hAnsi="Times New Roman" w:cs="Times New Roman"/>
        </w:rPr>
        <w:t>[</w:t>
      </w:r>
      <w:r w:rsidR="00B35EC0">
        <w:t>...</w:t>
      </w:r>
      <w:r w:rsidR="00B35EC0">
        <w:rPr>
          <w:rFonts w:ascii="Times New Roman" w:hAnsi="Times New Roman" w:cs="Times New Roman"/>
        </w:rPr>
        <w:t>]</w:t>
      </w:r>
      <w:r w:rsidR="00B35EC0">
        <w:t xml:space="preserve"> E</w:t>
      </w:r>
      <w:r w:rsidRPr="00694642">
        <w:t>t l’après-souper,</w:t>
      </w:r>
      <w:r w:rsidR="00E16D32">
        <w:t xml:space="preserve"> </w:t>
      </w:r>
      <w:r w:rsidRPr="00694642">
        <w:t>deux fois la semaine, tenir la salle du bal, car j’ai ouï dire au roi votre grand-père qu’il fallait deux choses pour</w:t>
      </w:r>
      <w:r w:rsidR="00E16D32">
        <w:t xml:space="preserve"> </w:t>
      </w:r>
      <w:r w:rsidRPr="00694642">
        <w:t>vivre en repos avec les Français et qu’ils aimassent leur roi : les tenir joyeux, et occupés à que</w:t>
      </w:r>
      <w:r w:rsidR="00E16D32">
        <w:t>l</w:t>
      </w:r>
      <w:r w:rsidRPr="00694642">
        <w:t>que exercice ;</w:t>
      </w:r>
      <w:r w:rsidR="00E16D32">
        <w:t xml:space="preserve"> </w:t>
      </w:r>
      <w:r w:rsidRPr="00694642">
        <w:t xml:space="preserve">pour cet effet, souvent il fallait combattre à cheval et à pied, courre la lance ; </w:t>
      </w:r>
      <w:r w:rsidR="009E6F38">
        <w:rPr>
          <w:rFonts w:ascii="Times New Roman" w:hAnsi="Times New Roman" w:cs="Times New Roman"/>
        </w:rPr>
        <w:t>[</w:t>
      </w:r>
      <w:r w:rsidR="009E6F38">
        <w:t>...</w:t>
      </w:r>
      <w:r w:rsidR="009E6F38">
        <w:rPr>
          <w:rFonts w:ascii="Times New Roman" w:hAnsi="Times New Roman" w:cs="Times New Roman"/>
        </w:rPr>
        <w:t>]</w:t>
      </w:r>
      <w:r w:rsidR="00D822E3">
        <w:t xml:space="preserve">. </w:t>
      </w:r>
    </w:p>
    <w:p w14:paraId="0EC2A280" w14:textId="77777777" w:rsidR="00B35EC0" w:rsidRDefault="009E6F38" w:rsidP="00620E44">
      <w:r>
        <w:t>P</w:t>
      </w:r>
      <w:r w:rsidR="00694642" w:rsidRPr="00694642">
        <w:t>our retourner à la police de la cour, du temps du roi votre grand-père, il n’y eût eu homme si hardi,</w:t>
      </w:r>
      <w:r w:rsidR="00E16D32">
        <w:t xml:space="preserve"> </w:t>
      </w:r>
      <w:r w:rsidR="00694642" w:rsidRPr="00694642">
        <w:t>d’oser dire dans sa cour injure à un autre, car, s’il eût été ouï, il eût été mené au prévôt de l’hôtel. Les capitaines</w:t>
      </w:r>
      <w:r w:rsidR="00E16D32">
        <w:t xml:space="preserve"> </w:t>
      </w:r>
      <w:r w:rsidR="00694642" w:rsidRPr="00694642">
        <w:t>des gardes se promenaient ordinairement par les salles et dans la cour ; quand l’après-dîner le roi était retiré en</w:t>
      </w:r>
      <w:r w:rsidR="00E16D32">
        <w:t xml:space="preserve"> </w:t>
      </w:r>
      <w:r w:rsidR="00694642" w:rsidRPr="00694642">
        <w:t xml:space="preserve">sa chambre, chez la reine, ou chez les dames, les archers se </w:t>
      </w:r>
      <w:proofErr w:type="spellStart"/>
      <w:r w:rsidR="00694642" w:rsidRPr="00694642">
        <w:t>tenoient</w:t>
      </w:r>
      <w:proofErr w:type="spellEnd"/>
      <w:r w:rsidR="00694642" w:rsidRPr="00694642">
        <w:t xml:space="preserve"> ordinairement aux salles parmi les degrés,</w:t>
      </w:r>
      <w:r w:rsidR="00E16D32">
        <w:t xml:space="preserve"> </w:t>
      </w:r>
      <w:r w:rsidR="00694642" w:rsidRPr="00694642">
        <w:t>et dans la cour, pour empêcher que les pages et laquais ne jouassent et tinssent les brelans qu’ils tiennent</w:t>
      </w:r>
      <w:r w:rsidR="00E16D32">
        <w:t xml:space="preserve"> </w:t>
      </w:r>
      <w:r w:rsidR="00694642" w:rsidRPr="00694642">
        <w:t>ordinairement dans le château où vous êtes logé, avec blasphèmes et jurements, chose exécrable ; et devez</w:t>
      </w:r>
      <w:r w:rsidR="00E16D32">
        <w:t xml:space="preserve"> </w:t>
      </w:r>
      <w:r w:rsidR="00694642" w:rsidRPr="00694642">
        <w:t>renouveler les anciennes ordonnances, et les vôtres mêmes, en faisant punition bien exemplaire, afin que chacun</w:t>
      </w:r>
      <w:r w:rsidR="00E16D32">
        <w:t xml:space="preserve"> </w:t>
      </w:r>
      <w:r w:rsidR="00694642" w:rsidRPr="00694642">
        <w:t>s’en abstienne. […] Aussi les portiers ne laissaient entrer personne dans la cour du château, si ce n’étaient les</w:t>
      </w:r>
      <w:r w:rsidR="00E16D32">
        <w:t xml:space="preserve"> </w:t>
      </w:r>
      <w:r w:rsidR="00694642" w:rsidRPr="00694642">
        <w:t>enfants du roi, et les frères et sœurs, en coche, à cheval et litière ; les princes et princesses descendaient dessous</w:t>
      </w:r>
      <w:r w:rsidR="00E16D32">
        <w:t xml:space="preserve"> </w:t>
      </w:r>
      <w:r w:rsidR="00694642" w:rsidRPr="00694642">
        <w:t>la porte ; les autres, hors de la porte. Tous les soirs, depuis que la nuit venait, le Grand Maître avait</w:t>
      </w:r>
      <w:r w:rsidR="00E16D32">
        <w:t xml:space="preserve"> </w:t>
      </w:r>
      <w:r w:rsidR="00694642" w:rsidRPr="00694642">
        <w:t>commandé au maître d’hôtel de faire allumer des flambeaux par toutes les salles et passages et, aux quatre</w:t>
      </w:r>
      <w:r w:rsidR="00E16D32">
        <w:t xml:space="preserve"> </w:t>
      </w:r>
      <w:r w:rsidR="00694642" w:rsidRPr="00694642">
        <w:t>coins de la cour et degrés, des falots ; et jamais la porte du château n’était ouverte que le roi ne fût éveillé et n’y</w:t>
      </w:r>
      <w:r w:rsidR="00E16D32">
        <w:t xml:space="preserve"> </w:t>
      </w:r>
      <w:r w:rsidR="00694642" w:rsidRPr="00694642">
        <w:t xml:space="preserve">entrait </w:t>
      </w:r>
      <w:proofErr w:type="gramStart"/>
      <w:r w:rsidR="00694642" w:rsidRPr="00694642">
        <w:t>ni sortait</w:t>
      </w:r>
      <w:proofErr w:type="gramEnd"/>
      <w:r w:rsidR="00694642" w:rsidRPr="00694642">
        <w:t xml:space="preserve"> personne, quel qu’il fût ; comme aussi, au soir, dès que le roi était couché, on fermait les portes</w:t>
      </w:r>
      <w:r w:rsidR="00E16D32">
        <w:t xml:space="preserve"> </w:t>
      </w:r>
      <w:r w:rsidR="00694642" w:rsidRPr="00694642">
        <w:t xml:space="preserve">et mettait-on les clefs sous le chevet de son lit ; </w:t>
      </w:r>
      <w:r>
        <w:rPr>
          <w:rFonts w:ascii="Times New Roman" w:hAnsi="Times New Roman" w:cs="Times New Roman"/>
        </w:rPr>
        <w:t>[</w:t>
      </w:r>
      <w:r>
        <w:t>...</w:t>
      </w:r>
      <w:r>
        <w:rPr>
          <w:rFonts w:ascii="Times New Roman" w:hAnsi="Times New Roman" w:cs="Times New Roman"/>
        </w:rPr>
        <w:t>]</w:t>
      </w:r>
      <w:r w:rsidR="00694642" w:rsidRPr="00694642">
        <w:t>.</w:t>
      </w:r>
      <w:r w:rsidR="00D92B49">
        <w:t xml:space="preserve"> </w:t>
      </w:r>
    </w:p>
    <w:p w14:paraId="5BE0C3FE" w14:textId="77777777" w:rsidR="00E16D32" w:rsidRPr="00B35EC0" w:rsidRDefault="00E16D32" w:rsidP="00540000">
      <w:pPr>
        <w:pStyle w:val="Citationsources"/>
      </w:pPr>
      <w:r w:rsidRPr="00B35EC0">
        <w:t>Lettre de Catherine de Médicis à Henri III</w:t>
      </w:r>
      <w:r w:rsidRPr="00260B3F">
        <w:t>, 1576</w:t>
      </w:r>
      <w:r w:rsidRPr="00B35EC0">
        <w:t xml:space="preserve">, </w:t>
      </w:r>
      <w:r w:rsidRPr="00B35EC0">
        <w:br/>
        <w:t xml:space="preserve">publiée par H. </w:t>
      </w:r>
      <w:r w:rsidRPr="00B35EC0">
        <w:rPr>
          <w:smallCaps/>
        </w:rPr>
        <w:t>de La Ferrière</w:t>
      </w:r>
      <w:r w:rsidRPr="00B35EC0">
        <w:t xml:space="preserve"> et Gustave </w:t>
      </w:r>
      <w:proofErr w:type="spellStart"/>
      <w:r w:rsidRPr="00B35EC0">
        <w:rPr>
          <w:smallCaps/>
        </w:rPr>
        <w:t>Baguenault</w:t>
      </w:r>
      <w:proofErr w:type="spellEnd"/>
      <w:r w:rsidRPr="00B35EC0">
        <w:rPr>
          <w:smallCaps/>
        </w:rPr>
        <w:t xml:space="preserve"> de </w:t>
      </w:r>
      <w:proofErr w:type="spellStart"/>
      <w:r w:rsidRPr="00B35EC0">
        <w:rPr>
          <w:smallCaps/>
        </w:rPr>
        <w:t>Puchesse</w:t>
      </w:r>
      <w:proofErr w:type="spellEnd"/>
      <w:r w:rsidRPr="00B35EC0">
        <w:t xml:space="preserve">, </w:t>
      </w:r>
      <w:r w:rsidRPr="00B35EC0">
        <w:br/>
      </w:r>
      <w:r w:rsidRPr="00B35EC0">
        <w:rPr>
          <w:i/>
        </w:rPr>
        <w:t>Lettres de Catherine de Médicis</w:t>
      </w:r>
      <w:r w:rsidRPr="00B35EC0">
        <w:t>, 10 vol., Paris, Imprimerie nationale, 1883-1908, vol. 2, p. 90-93.</w:t>
      </w:r>
    </w:p>
    <w:p w14:paraId="58CBC9A7" w14:textId="77777777" w:rsidR="00D92B49" w:rsidRPr="001876DF" w:rsidRDefault="00D92B49" w:rsidP="00620E44">
      <w:pPr>
        <w:pStyle w:val="Titre1"/>
      </w:pPr>
      <w:r w:rsidRPr="001876DF">
        <w:lastRenderedPageBreak/>
        <w:t xml:space="preserve">Document </w:t>
      </w:r>
      <w:r>
        <w:t>2</w:t>
      </w:r>
      <w:r w:rsidRPr="001876DF">
        <w:t>.</w:t>
      </w:r>
      <w:r>
        <w:t xml:space="preserve"> </w:t>
      </w:r>
      <w:r w:rsidR="00B35EC0">
        <w:t>Le 1</w:t>
      </w:r>
      <w:r w:rsidR="00B35EC0" w:rsidRPr="00B35EC0">
        <w:rPr>
          <w:vertAlign w:val="superscript"/>
        </w:rPr>
        <w:t>er</w:t>
      </w:r>
      <w:r w:rsidR="00B35EC0">
        <w:t xml:space="preserve"> et le 2</w:t>
      </w:r>
      <w:r w:rsidR="00B35EC0" w:rsidRPr="00B35EC0">
        <w:rPr>
          <w:vertAlign w:val="superscript"/>
        </w:rPr>
        <w:t>e</w:t>
      </w:r>
      <w:r w:rsidR="00B35EC0">
        <w:t xml:space="preserve"> étage</w:t>
      </w:r>
      <w:r w:rsidR="00FA4844">
        <w:t xml:space="preserve"> du Louvre d’après un architecte royal  </w:t>
      </w:r>
    </w:p>
    <w:p w14:paraId="1D03F877" w14:textId="77777777" w:rsidR="00D92B49" w:rsidRDefault="00FA4844" w:rsidP="00E30CC9">
      <w:pPr>
        <w:pStyle w:val="Sansinterligne"/>
      </w:pPr>
      <w:r>
        <w:rPr>
          <w:noProof/>
        </w:rPr>
        <w:drawing>
          <wp:inline distT="0" distB="0" distL="0" distR="0" wp14:anchorId="454259C3" wp14:editId="1D7A7565">
            <wp:extent cx="5892800" cy="3127627"/>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stiments_v1_(Gregg_1972_p27)_-_Louvre_second_and_first_storey_plan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96685" cy="3129689"/>
                    </a:xfrm>
                    <a:prstGeom prst="rect">
                      <a:avLst/>
                    </a:prstGeom>
                  </pic:spPr>
                </pic:pic>
              </a:graphicData>
            </a:graphic>
          </wp:inline>
        </w:drawing>
      </w:r>
    </w:p>
    <w:p w14:paraId="3C5FBD2E" w14:textId="77777777" w:rsidR="00FA4844" w:rsidRPr="00FA4844" w:rsidRDefault="00FA4844" w:rsidP="00FA4844">
      <w:pPr>
        <w:pStyle w:val="Sansinterligne"/>
        <w:spacing w:before="240" w:after="240"/>
        <w:jc w:val="right"/>
        <w:rPr>
          <w:b/>
          <w:sz w:val="21"/>
        </w:rPr>
      </w:pPr>
      <w:r w:rsidRPr="00FA4844">
        <w:t xml:space="preserve">Jacques Androuet </w:t>
      </w:r>
      <w:r w:rsidRPr="00FA4844">
        <w:rPr>
          <w:smallCaps/>
        </w:rPr>
        <w:t>du Cerceau</w:t>
      </w:r>
      <w:r w:rsidRPr="00FA4844">
        <w:t xml:space="preserve">, </w:t>
      </w:r>
      <w:r w:rsidRPr="00FA4844">
        <w:rPr>
          <w:i/>
        </w:rPr>
        <w:t xml:space="preserve">Les plus </w:t>
      </w:r>
      <w:proofErr w:type="spellStart"/>
      <w:r w:rsidRPr="00FA4844">
        <w:rPr>
          <w:i/>
        </w:rPr>
        <w:t>excellens</w:t>
      </w:r>
      <w:proofErr w:type="spellEnd"/>
      <w:r w:rsidRPr="00FA4844">
        <w:rPr>
          <w:i/>
        </w:rPr>
        <w:t xml:space="preserve"> </w:t>
      </w:r>
      <w:proofErr w:type="spellStart"/>
      <w:r w:rsidRPr="00FA4844">
        <w:rPr>
          <w:i/>
        </w:rPr>
        <w:t>bastiments</w:t>
      </w:r>
      <w:proofErr w:type="spellEnd"/>
      <w:r w:rsidRPr="00FA4844">
        <w:rPr>
          <w:i/>
        </w:rPr>
        <w:t xml:space="preserve"> de France</w:t>
      </w:r>
      <w:r w:rsidRPr="00FA4844">
        <w:t>, Paris, 1576.</w:t>
      </w:r>
    </w:p>
    <w:p w14:paraId="3FE96048" w14:textId="77777777" w:rsidR="00694642" w:rsidRDefault="00694642" w:rsidP="00620E44">
      <w:pPr>
        <w:pStyle w:val="Titre1"/>
      </w:pPr>
      <w:r>
        <w:sym w:font="Wingdings" w:char="F026"/>
      </w:r>
      <w:r>
        <w:t xml:space="preserve"> </w:t>
      </w:r>
      <w:r w:rsidRPr="001876DF">
        <w:t>Bibliographie sélective</w:t>
      </w:r>
      <w:r w:rsidR="004E2452">
        <w:t xml:space="preserve"> </w:t>
      </w:r>
    </w:p>
    <w:p w14:paraId="771F8A70" w14:textId="77777777" w:rsidR="00AE4A56" w:rsidRPr="00AE4A56" w:rsidRDefault="00AE4A56" w:rsidP="00AE4A56">
      <w:pPr>
        <w:pStyle w:val="Biblio"/>
        <w:rPr>
          <w:smallCaps w:val="0"/>
        </w:rPr>
      </w:pPr>
      <w:proofErr w:type="spellStart"/>
      <w:r w:rsidRPr="00AE4A56">
        <w:t>Châtenet</w:t>
      </w:r>
      <w:proofErr w:type="spellEnd"/>
      <w:r w:rsidRPr="00AE4A56">
        <w:rPr>
          <w:smallCaps w:val="0"/>
        </w:rPr>
        <w:t xml:space="preserve">, Monique, </w:t>
      </w:r>
      <w:r w:rsidRPr="00AE4A56">
        <w:rPr>
          <w:i/>
          <w:smallCaps w:val="0"/>
        </w:rPr>
        <w:t xml:space="preserve">La cour de France au </w:t>
      </w:r>
      <w:proofErr w:type="spellStart"/>
      <w:r w:rsidRPr="00AE4A56">
        <w:rPr>
          <w:i/>
        </w:rPr>
        <w:t>xvi</w:t>
      </w:r>
      <w:r w:rsidRPr="00AE4A56">
        <w:rPr>
          <w:i/>
          <w:smallCaps w:val="0"/>
          <w:vertAlign w:val="superscript"/>
        </w:rPr>
        <w:t>e</w:t>
      </w:r>
      <w:proofErr w:type="spellEnd"/>
      <w:r w:rsidRPr="00AE4A56">
        <w:rPr>
          <w:i/>
          <w:smallCaps w:val="0"/>
        </w:rPr>
        <w:t xml:space="preserve"> siècle. Vie sociale et architecture</w:t>
      </w:r>
      <w:r w:rsidRPr="00AE4A56">
        <w:rPr>
          <w:smallCaps w:val="0"/>
        </w:rPr>
        <w:t>, Paris, Picard, 2002.</w:t>
      </w:r>
    </w:p>
    <w:p w14:paraId="100ED431" w14:textId="77777777" w:rsidR="00AE4A56" w:rsidRPr="00AE4A56" w:rsidRDefault="00AE4A56" w:rsidP="00AE4A56">
      <w:pPr>
        <w:pStyle w:val="Biblio"/>
        <w:rPr>
          <w:smallCaps w:val="0"/>
        </w:rPr>
      </w:pPr>
      <w:r w:rsidRPr="00AE4A56">
        <w:t>Fontvieille</w:t>
      </w:r>
      <w:r w:rsidRPr="00AE4A56">
        <w:rPr>
          <w:smallCaps w:val="0"/>
        </w:rPr>
        <w:t xml:space="preserve">, Damien, </w:t>
      </w:r>
      <w:r w:rsidRPr="00AE4A56">
        <w:t>Lesueur</w:t>
      </w:r>
      <w:r w:rsidRPr="00AE4A56">
        <w:rPr>
          <w:smallCaps w:val="0"/>
        </w:rPr>
        <w:t xml:space="preserve">, Boris, </w:t>
      </w:r>
      <w:proofErr w:type="spellStart"/>
      <w:r w:rsidRPr="00AE4A56">
        <w:t>Sénié</w:t>
      </w:r>
      <w:proofErr w:type="spellEnd"/>
      <w:r w:rsidRPr="00AE4A56">
        <w:rPr>
          <w:smallCaps w:val="0"/>
        </w:rPr>
        <w:t xml:space="preserve">, Jean, </w:t>
      </w:r>
      <w:r w:rsidRPr="00AE4A56">
        <w:rPr>
          <w:i/>
          <w:smallCaps w:val="0"/>
        </w:rPr>
        <w:t>La construction de l’État monarchique (1380-1715)</w:t>
      </w:r>
      <w:r w:rsidRPr="00AE4A56">
        <w:rPr>
          <w:smallCaps w:val="0"/>
        </w:rPr>
        <w:t xml:space="preserve">, </w:t>
      </w:r>
      <w:r>
        <w:rPr>
          <w:smallCaps w:val="0"/>
        </w:rPr>
        <w:br/>
        <w:t xml:space="preserve">  </w:t>
      </w:r>
      <w:r w:rsidRPr="00AE4A56">
        <w:rPr>
          <w:smallCaps w:val="0"/>
        </w:rPr>
        <w:t xml:space="preserve">Paris, </w:t>
      </w:r>
      <w:proofErr w:type="spellStart"/>
      <w:r w:rsidRPr="00AE4A56">
        <w:rPr>
          <w:smallCaps w:val="0"/>
        </w:rPr>
        <w:t>Atlande</w:t>
      </w:r>
      <w:proofErr w:type="spellEnd"/>
      <w:r w:rsidRPr="00AE4A56">
        <w:rPr>
          <w:smallCaps w:val="0"/>
        </w:rPr>
        <w:t>, 2023, p. 259-271.</w:t>
      </w:r>
    </w:p>
    <w:p w14:paraId="23EF05B0" w14:textId="77777777" w:rsidR="00AE4A56" w:rsidRPr="00AE4A56" w:rsidRDefault="00AE4A56" w:rsidP="00AE4A56">
      <w:pPr>
        <w:pStyle w:val="Biblio"/>
        <w:rPr>
          <w:smallCaps w:val="0"/>
        </w:rPr>
      </w:pPr>
      <w:r w:rsidRPr="00AE4A56">
        <w:t>Le</w:t>
      </w:r>
      <w:r w:rsidRPr="00AE4A56">
        <w:rPr>
          <w:smallCaps w:val="0"/>
        </w:rPr>
        <w:t xml:space="preserve"> </w:t>
      </w:r>
      <w:r w:rsidRPr="00AE4A56">
        <w:t>Roux</w:t>
      </w:r>
      <w:r w:rsidRPr="00AE4A56">
        <w:rPr>
          <w:smallCaps w:val="0"/>
        </w:rPr>
        <w:t xml:space="preserve">, Nicolas, « La cour dans l’espace du palais. L’exemple de Henri III », </w:t>
      </w:r>
      <w:r w:rsidRPr="00AE4A56">
        <w:rPr>
          <w:smallCaps w:val="0"/>
        </w:rPr>
        <w:br/>
        <w:t xml:space="preserve">  dans M.-F. </w:t>
      </w:r>
      <w:proofErr w:type="spellStart"/>
      <w:r w:rsidRPr="00AE4A56">
        <w:t>Auzépy</w:t>
      </w:r>
      <w:proofErr w:type="spellEnd"/>
      <w:r w:rsidRPr="00AE4A56">
        <w:rPr>
          <w:smallCaps w:val="0"/>
        </w:rPr>
        <w:t xml:space="preserve">, J. </w:t>
      </w:r>
      <w:r w:rsidRPr="00AE4A56">
        <w:t>Cornette</w:t>
      </w:r>
      <w:r w:rsidRPr="00AE4A56">
        <w:rPr>
          <w:smallCaps w:val="0"/>
        </w:rPr>
        <w:t xml:space="preserve"> (dir.), </w:t>
      </w:r>
      <w:r w:rsidRPr="00AE4A56">
        <w:rPr>
          <w:i/>
          <w:smallCaps w:val="0"/>
        </w:rPr>
        <w:t>Palais et Pouvoir, de Constantinople à Versailles</w:t>
      </w:r>
      <w:r w:rsidRPr="00AE4A56">
        <w:rPr>
          <w:smallCaps w:val="0"/>
        </w:rPr>
        <w:t xml:space="preserve">, </w:t>
      </w:r>
      <w:r w:rsidRPr="00AE4A56">
        <w:rPr>
          <w:smallCaps w:val="0"/>
        </w:rPr>
        <w:br/>
        <w:t xml:space="preserve">  Saint-Denis, Presses universitaires de Vincennes, 2003, p. 229-267, </w:t>
      </w:r>
      <w:r w:rsidRPr="00AE4A56">
        <w:rPr>
          <w:rFonts w:cs="Times New Roman"/>
          <w:smallCaps w:val="0"/>
        </w:rPr>
        <w:t>[</w:t>
      </w:r>
      <w:hyperlink r:id="rId30" w:history="1">
        <w:r w:rsidRPr="00AE4A56">
          <w:rPr>
            <w:rStyle w:val="Lienhypertexte"/>
            <w:smallCaps w:val="0"/>
            <w:color w:val="000000" w:themeColor="text1"/>
            <w:sz w:val="21"/>
            <w:szCs w:val="21"/>
          </w:rPr>
          <w:t>En ligne</w:t>
        </w:r>
      </w:hyperlink>
      <w:r w:rsidRPr="00AE4A56">
        <w:rPr>
          <w:rFonts w:cs="Times New Roman"/>
          <w:smallCaps w:val="0"/>
        </w:rPr>
        <w:t>]</w:t>
      </w:r>
      <w:r w:rsidRPr="00AE4A56">
        <w:rPr>
          <w:smallCaps w:val="0"/>
        </w:rPr>
        <w:t xml:space="preserve">. </w:t>
      </w:r>
    </w:p>
    <w:p w14:paraId="23B9F905" w14:textId="77777777" w:rsidR="00AE4A56" w:rsidRPr="00AE4A56" w:rsidRDefault="00AE4A56" w:rsidP="00AE4A56">
      <w:pPr>
        <w:pStyle w:val="Biblio"/>
        <w:rPr>
          <w:smallCaps w:val="0"/>
        </w:rPr>
      </w:pPr>
      <w:proofErr w:type="spellStart"/>
      <w:r w:rsidRPr="00AE4A56">
        <w:t>Viallon</w:t>
      </w:r>
      <w:proofErr w:type="spellEnd"/>
      <w:r w:rsidRPr="00AE4A56">
        <w:rPr>
          <w:smallCaps w:val="0"/>
        </w:rPr>
        <w:t xml:space="preserve">, Marina, « « La salle des gardes dans les résidences royales françaises », </w:t>
      </w:r>
      <w:r w:rsidRPr="00AE4A56">
        <w:rPr>
          <w:smallCaps w:val="0"/>
        </w:rPr>
        <w:br/>
        <w:t xml:space="preserve">  </w:t>
      </w:r>
      <w:r w:rsidRPr="00AE4A56">
        <w:rPr>
          <w:i/>
          <w:smallCaps w:val="0"/>
        </w:rPr>
        <w:t>Bulletin du centre de recherches du château de Versailles</w:t>
      </w:r>
      <w:r w:rsidRPr="00AE4A56">
        <w:rPr>
          <w:smallCaps w:val="0"/>
        </w:rPr>
        <w:t xml:space="preserve">, 2013, articles et études, </w:t>
      </w:r>
      <w:r w:rsidRPr="00AE4A56">
        <w:rPr>
          <w:rFonts w:cs="Times New Roman"/>
          <w:smallCaps w:val="0"/>
        </w:rPr>
        <w:t>[</w:t>
      </w:r>
      <w:hyperlink r:id="rId31" w:history="1">
        <w:r w:rsidRPr="00AE4A56">
          <w:rPr>
            <w:rStyle w:val="Lienhypertexte"/>
            <w:smallCaps w:val="0"/>
            <w:color w:val="000000" w:themeColor="text1"/>
            <w:sz w:val="21"/>
            <w:szCs w:val="21"/>
          </w:rPr>
          <w:t>En ligne</w:t>
        </w:r>
      </w:hyperlink>
      <w:r w:rsidRPr="00AE4A56">
        <w:rPr>
          <w:rFonts w:cs="Times New Roman"/>
          <w:smallCaps w:val="0"/>
        </w:rPr>
        <w:t>]</w:t>
      </w:r>
      <w:r w:rsidRPr="00AE4A56">
        <w:rPr>
          <w:smallCaps w:val="0"/>
        </w:rPr>
        <w:t xml:space="preserve">. </w:t>
      </w:r>
    </w:p>
    <w:p w14:paraId="3093049E" w14:textId="77777777" w:rsidR="00D04362" w:rsidRPr="00C74236" w:rsidRDefault="00D04362" w:rsidP="00620E44">
      <w:pPr>
        <w:pStyle w:val="Titre1"/>
      </w:pPr>
      <w:r w:rsidRPr="00C74236">
        <w:sym w:font="Wingdings" w:char="F025"/>
      </w:r>
      <w:r w:rsidRPr="00C74236">
        <w:t xml:space="preserve"> </w:t>
      </w:r>
      <w:r>
        <w:t xml:space="preserve">Un peu de vulgarisation bien faite  </w:t>
      </w:r>
      <w:r w:rsidRPr="00C74236">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D04362" w14:paraId="0999A96F" w14:textId="77777777" w:rsidTr="00110DBF">
        <w:tc>
          <w:tcPr>
            <w:tcW w:w="9062" w:type="dxa"/>
          </w:tcPr>
          <w:p w14:paraId="1324E609" w14:textId="77777777" w:rsidR="00D04362" w:rsidRPr="00AE6D71" w:rsidRDefault="00D04362" w:rsidP="00517DC2">
            <w:pPr>
              <w:pStyle w:val="Biblio"/>
              <w:spacing w:before="0"/>
              <w:ind w:left="35"/>
              <w:rPr>
                <w:smallCaps w:val="0"/>
              </w:rPr>
            </w:pPr>
            <w:r w:rsidRPr="00AE6D71">
              <w:rPr>
                <w:smallCaps w:val="0"/>
              </w:rPr>
              <w:t xml:space="preserve">Manon </w:t>
            </w:r>
            <w:proofErr w:type="spellStart"/>
            <w:r w:rsidRPr="00AE6D71">
              <w:t>Textoris</w:t>
            </w:r>
            <w:proofErr w:type="spellEnd"/>
            <w:r w:rsidRPr="00AE6D71">
              <w:rPr>
                <w:smallCaps w:val="0"/>
              </w:rPr>
              <w:t xml:space="preserve">, </w:t>
            </w:r>
            <w:r w:rsidRPr="00AE6D71">
              <w:rPr>
                <w:i/>
                <w:smallCaps w:val="0"/>
              </w:rPr>
              <w:t>L’escadron de la reine. 1. La fille sage</w:t>
            </w:r>
            <w:r w:rsidRPr="00AE6D71">
              <w:rPr>
                <w:smallCaps w:val="0"/>
              </w:rPr>
              <w:t xml:space="preserve">, Paris, Dargaud, 2023. </w:t>
            </w:r>
          </w:p>
        </w:tc>
      </w:tr>
      <w:tr w:rsidR="00D04362" w14:paraId="64182268" w14:textId="77777777" w:rsidTr="00110DBF">
        <w:tc>
          <w:tcPr>
            <w:tcW w:w="9062" w:type="dxa"/>
          </w:tcPr>
          <w:p w14:paraId="6705C9B5" w14:textId="77777777" w:rsidR="00D04362" w:rsidRPr="00AE6D71" w:rsidRDefault="00D04362" w:rsidP="00517DC2">
            <w:pPr>
              <w:pStyle w:val="Sansinterligne"/>
              <w:ind w:left="177" w:right="-112"/>
              <w:jc w:val="both"/>
              <w:rPr>
                <w:i/>
              </w:rPr>
            </w:pPr>
            <w:r w:rsidRPr="00AE6D71">
              <w:rPr>
                <w:i/>
              </w:rPr>
              <w:t xml:space="preserve">Dans cette bande dessinée extrêmement bien documentée, soutenue en </w:t>
            </w:r>
            <w:proofErr w:type="spellStart"/>
            <w:r w:rsidRPr="00AE6D71">
              <w:rPr>
                <w:i/>
              </w:rPr>
              <w:t>post-face</w:t>
            </w:r>
            <w:proofErr w:type="spellEnd"/>
            <w:r w:rsidRPr="00AE6D71">
              <w:rPr>
                <w:i/>
              </w:rPr>
              <w:t xml:space="preserve"> par l’historien Jérémie Foa, Manon </w:t>
            </w:r>
            <w:proofErr w:type="spellStart"/>
            <w:r w:rsidRPr="00AE6D71">
              <w:rPr>
                <w:i/>
              </w:rPr>
              <w:t>Textoris</w:t>
            </w:r>
            <w:proofErr w:type="spellEnd"/>
            <w:r w:rsidRPr="00AE6D71">
              <w:rPr>
                <w:i/>
              </w:rPr>
              <w:t xml:space="preserve"> raconte l’histoire de Gabrielle, une jeune noble qui tente d’intégrer le groupe des dames et demoiselles de compagnie de la reine, Catherine de Médicis. La bande dessinée permet de mieux comprendre les attentes et les rôles de ces femmes au service de la cour. Elle donne aussi à voir, de façon impressionnante, l’environnement visuel des contemporains.  </w:t>
            </w:r>
          </w:p>
        </w:tc>
      </w:tr>
    </w:tbl>
    <w:p w14:paraId="0CECE114" w14:textId="77777777" w:rsidR="00694642" w:rsidRDefault="00694642" w:rsidP="00620E44">
      <w:pPr>
        <w:pStyle w:val="Titre1"/>
      </w:pPr>
      <w:r w:rsidRPr="00C74236">
        <w:sym w:font="Wingdings" w:char="F025"/>
      </w:r>
      <w:r w:rsidRPr="00C74236">
        <w:t xml:space="preserve"> L’actualité de la recherche </w:t>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F93281" w14:paraId="2951B57E" w14:textId="77777777" w:rsidTr="002312CE">
        <w:tc>
          <w:tcPr>
            <w:tcW w:w="9214" w:type="dxa"/>
          </w:tcPr>
          <w:p w14:paraId="768361F4" w14:textId="77777777" w:rsidR="00F93281" w:rsidRPr="002151F8" w:rsidRDefault="00F93281" w:rsidP="00455CF9">
            <w:pPr>
              <w:pStyle w:val="Biblio"/>
              <w:spacing w:before="0"/>
            </w:pPr>
            <w:r w:rsidRPr="00F93281">
              <w:rPr>
                <w:smallCaps w:val="0"/>
              </w:rPr>
              <w:t>Céline</w:t>
            </w:r>
            <w:r>
              <w:t xml:space="preserve"> </w:t>
            </w:r>
            <w:proofErr w:type="spellStart"/>
            <w:r w:rsidRPr="00F93281">
              <w:t>Borello</w:t>
            </w:r>
            <w:proofErr w:type="spellEnd"/>
            <w:r>
              <w:t xml:space="preserve">, </w:t>
            </w:r>
            <w:r w:rsidRPr="00F93281">
              <w:rPr>
                <w:i/>
                <w:smallCaps w:val="0"/>
              </w:rPr>
              <w:t>Catherine de Médicis</w:t>
            </w:r>
            <w:r w:rsidRPr="00F93281">
              <w:rPr>
                <w:smallCaps w:val="0"/>
              </w:rPr>
              <w:t>, Paris, Presses universitaires de France, 2021</w:t>
            </w:r>
            <w:r w:rsidRPr="0041082C">
              <w:rPr>
                <w:smallCaps w:val="0"/>
              </w:rPr>
              <w:t xml:space="preserve">. </w:t>
            </w:r>
          </w:p>
        </w:tc>
      </w:tr>
      <w:tr w:rsidR="00F93281" w14:paraId="78D0F4BE" w14:textId="77777777" w:rsidTr="002312CE">
        <w:trPr>
          <w:trHeight w:val="1887"/>
        </w:trPr>
        <w:tc>
          <w:tcPr>
            <w:tcW w:w="9214" w:type="dxa"/>
          </w:tcPr>
          <w:p w14:paraId="3EAC7352" w14:textId="77777777" w:rsidR="00F93281" w:rsidRPr="002A62B1" w:rsidRDefault="00F93281" w:rsidP="00455CF9">
            <w:pPr>
              <w:pStyle w:val="Sansinterligne"/>
              <w:ind w:left="177"/>
              <w:jc w:val="both"/>
              <w:rPr>
                <w:i/>
                <w:szCs w:val="20"/>
              </w:rPr>
            </w:pPr>
            <w:r w:rsidRPr="002A62B1">
              <w:rPr>
                <w:i/>
              </w:rPr>
              <w:t>Catherine de Médicis, reine de France, continue de fasciner et d’emmener avec elle une série de malentendus et de préjugés sur sa vie et son action. Princesse florentine, mais aussi française par sa mère, Catherine de Médicis est bien plus que la reine noire : elle est aussi une mécène, proche d’artistes et de penseurs, qu’elle finance et qu’elle protège, comme le faisait avant elle Marguerite de Navarre, sœur de François I</w:t>
            </w:r>
            <w:r w:rsidRPr="002A62B1">
              <w:rPr>
                <w:i/>
                <w:vertAlign w:val="superscript"/>
              </w:rPr>
              <w:t>er</w:t>
            </w:r>
            <w:r w:rsidRPr="002A62B1">
              <w:rPr>
                <w:i/>
              </w:rPr>
              <w:t xml:space="preserve">. Elle est aussi la tenante d’une ligne politique favorable à la tolérance religieuse et à la coexistence confessionnelle, ce qu’elle prouve en signant de nombreuses paix de religion pendant les dix premières années de guerre civile. Son action, loin des préjugés sexistes et italophobes qui ont été renforcés par les historiens du </w:t>
            </w:r>
            <w:proofErr w:type="spellStart"/>
            <w:r w:rsidRPr="002A62B1">
              <w:rPr>
                <w:i/>
                <w:smallCaps/>
              </w:rPr>
              <w:t>xix</w:t>
            </w:r>
            <w:r w:rsidRPr="002A62B1">
              <w:rPr>
                <w:i/>
                <w:vertAlign w:val="superscript"/>
              </w:rPr>
              <w:t>e</w:t>
            </w:r>
            <w:proofErr w:type="spellEnd"/>
            <w:r w:rsidRPr="002A62B1">
              <w:rPr>
                <w:i/>
              </w:rPr>
              <w:t xml:space="preserve"> siècle, jusqu’à récemment, est dépeinte dans une langue accessible par Céline </w:t>
            </w:r>
            <w:proofErr w:type="spellStart"/>
            <w:r w:rsidRPr="002A62B1">
              <w:rPr>
                <w:i/>
                <w:smallCaps/>
              </w:rPr>
              <w:t>Borello</w:t>
            </w:r>
            <w:proofErr w:type="spellEnd"/>
            <w:r w:rsidRPr="002A62B1">
              <w:rPr>
                <w:i/>
                <w:smallCaps/>
              </w:rPr>
              <w:t xml:space="preserve">, </w:t>
            </w:r>
            <w:r w:rsidRPr="002A62B1">
              <w:rPr>
                <w:i/>
              </w:rPr>
              <w:t>professeure d’histoire moderne au Mans, dans cette biographie</w:t>
            </w:r>
            <w:r w:rsidRPr="002A62B1">
              <w:rPr>
                <w:i/>
                <w:szCs w:val="20"/>
              </w:rPr>
              <w:t>.</w:t>
            </w:r>
          </w:p>
        </w:tc>
      </w:tr>
    </w:tbl>
    <w:p w14:paraId="034A02B5" w14:textId="77777777" w:rsidR="00D92B49" w:rsidRDefault="00D92B49" w:rsidP="002312CE">
      <w:pPr>
        <w:ind w:firstLine="0"/>
        <w:sectPr w:rsidR="00D92B49" w:rsidSect="00A77E43">
          <w:type w:val="oddPage"/>
          <w:pgSz w:w="11906" w:h="16838"/>
          <w:pgMar w:top="964" w:right="1304" w:bottom="1134" w:left="1304" w:header="709" w:footer="709" w:gutter="0"/>
          <w:cols w:space="708"/>
          <w:docGrid w:linePitch="360"/>
        </w:sectPr>
      </w:pPr>
    </w:p>
    <w:p w14:paraId="49567999" w14:textId="77777777" w:rsidR="00D92B49" w:rsidRPr="009D6DD9" w:rsidRDefault="00D92B49" w:rsidP="00620E44">
      <w:pPr>
        <w:pStyle w:val="Titre"/>
      </w:pPr>
      <w:bookmarkStart w:id="8" w:name="_Toc185425568"/>
      <w:r w:rsidRPr="009D6DD9">
        <w:lastRenderedPageBreak/>
        <w:t xml:space="preserve">Séance </w:t>
      </w:r>
      <w:r>
        <w:t>5</w:t>
      </w:r>
      <w:r w:rsidR="001D60D4">
        <w:t xml:space="preserve"> (1)</w:t>
      </w:r>
      <w:r w:rsidRPr="009D6DD9">
        <w:br/>
      </w:r>
      <w:r w:rsidR="0000002D" w:rsidRPr="002312CE">
        <w:rPr>
          <w:b/>
        </w:rPr>
        <w:t>Structurer une explication de document</w:t>
      </w:r>
      <w:bookmarkEnd w:id="8"/>
      <w:r>
        <w:t xml:space="preserve"> </w:t>
      </w:r>
      <w:r w:rsidRPr="009D6DD9">
        <w:t xml:space="preserve"> </w:t>
      </w:r>
    </w:p>
    <w:p w14:paraId="1583C3FE" w14:textId="77777777" w:rsidR="00D92B49" w:rsidRPr="001876DF" w:rsidRDefault="00D92B49" w:rsidP="00620E44">
      <w:pPr>
        <w:pStyle w:val="Titre1"/>
      </w:pPr>
      <w:r w:rsidRPr="001876DF">
        <w:t>Document 1.</w:t>
      </w:r>
      <w:r w:rsidR="00EB1214">
        <w:t xml:space="preserve"> Le massacre de Sens (avril 1562)</w:t>
      </w:r>
      <w:r w:rsidRPr="001876DF">
        <w:t xml:space="preserve"> </w:t>
      </w:r>
    </w:p>
    <w:p w14:paraId="7B02B6D8" w14:textId="77777777" w:rsidR="00D92B49" w:rsidRDefault="00EB1214" w:rsidP="00ED597C">
      <w:pPr>
        <w:pStyle w:val="Sansinterligne"/>
        <w:spacing w:after="240"/>
        <w:ind w:left="-426"/>
      </w:pPr>
      <w:r>
        <w:rPr>
          <w:noProof/>
        </w:rPr>
        <w:drawing>
          <wp:inline distT="0" distB="0" distL="0" distR="0" wp14:anchorId="7DF65836" wp14:editId="6EA31C7B">
            <wp:extent cx="6397766" cy="4746844"/>
            <wp:effectExtent l="0" t="0" r="3175" b="317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tv1b84005068_f1.jpg"/>
                    <pic:cNvPicPr/>
                  </pic:nvPicPr>
                  <pic:blipFill>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416703" cy="4760895"/>
                    </a:xfrm>
                    <a:prstGeom prst="rect">
                      <a:avLst/>
                    </a:prstGeom>
                  </pic:spPr>
                </pic:pic>
              </a:graphicData>
            </a:graphic>
          </wp:inline>
        </w:drawing>
      </w:r>
    </w:p>
    <w:p w14:paraId="322D78ED" w14:textId="77777777" w:rsidR="00EB1214" w:rsidRDefault="00EB1214" w:rsidP="00620E44">
      <w:r w:rsidRPr="00EB1214">
        <w:t xml:space="preserve">A. La grange, </w:t>
      </w:r>
      <w:proofErr w:type="gramStart"/>
      <w:r w:rsidRPr="00EB1214">
        <w:t>hors</w:t>
      </w:r>
      <w:proofErr w:type="gramEnd"/>
      <w:r w:rsidRPr="00EB1214">
        <w:t xml:space="preserve"> les murs, où l’on prêchait suivant l’édit de janvier, est démolie et abattue, et les vignes des alentours arrachées. B. La maison d’un conseiller du siège présidial du Roi est pillée, saccagée et après avoir bu le vin en la cave, les tonneaux sont défoncés et rompus, on laisse le vin s’épancher. C. Une maison où étaient assemblés quelques-uns de la religion pour leur sécurité ; la populace vient par la force et y amène un faucon </w:t>
      </w:r>
      <w:r>
        <w:rPr>
          <w:rFonts w:ascii="Times New Roman" w:hAnsi="Times New Roman" w:cs="Times New Roman"/>
        </w:rPr>
        <w:t>[</w:t>
      </w:r>
      <w:r w:rsidRPr="00EB1214">
        <w:t>= petit canon</w:t>
      </w:r>
      <w:r>
        <w:rPr>
          <w:rFonts w:ascii="Times New Roman" w:hAnsi="Times New Roman" w:cs="Times New Roman"/>
        </w:rPr>
        <w:t>]</w:t>
      </w:r>
      <w:r w:rsidRPr="00EB1214">
        <w:t xml:space="preserve">, mais un gentilhomme, nommé monsieur de </w:t>
      </w:r>
      <w:proofErr w:type="spellStart"/>
      <w:r w:rsidRPr="00EB1214">
        <w:t>Monbaut</w:t>
      </w:r>
      <w:proofErr w:type="spellEnd"/>
      <w:r w:rsidRPr="00EB1214">
        <w:t xml:space="preserve">, avec son serviteur, les fit partir à coups d’épée ; toutefois il fut frappé d’un coup de pierre entre les yeux, puis fut tué, avec son serviteur, et trainé dans la rivière. D. Un élu de la ville se sauve par-dessus sa maison, et sa maison est pillée. E. La femme de maître Jacques </w:t>
      </w:r>
      <w:proofErr w:type="spellStart"/>
      <w:r w:rsidRPr="00EB1214">
        <w:t>Ithier</w:t>
      </w:r>
      <w:proofErr w:type="spellEnd"/>
      <w:r w:rsidRPr="00EB1214">
        <w:t xml:space="preserve">, médecin, se voulant sauver, voyant la maison de son voisin pillée et prise par la populace, est tuée, en présence de deux de ses filles, l'une desquelles est menée en prison ; et ladite mère est dépouillée de ses vêtements, et par le col on la traine en la rivière. F. Un boulanger avec sa femme sont tués et trainés en un pré, d’autant qu’ils étaient loin de la rivière. G. Un conseiller, nommé Boulanger, se sauve en laissant son fils et un serviteur en sa maison ; ils soutiennent un assaut ; mais, à la fin, ils furent tués et trainés en la rivière, et la maison pillée. H. Un épinglier et sa fille, s’étant échappés, sont pris tous vifs et liés tous les deux par les pieds, et trainés en la rivière. I. La maison de la veuve de </w:t>
      </w:r>
      <w:proofErr w:type="spellStart"/>
      <w:r w:rsidRPr="00EB1214">
        <w:t>Hondart</w:t>
      </w:r>
      <w:proofErr w:type="spellEnd"/>
      <w:r w:rsidRPr="00EB1214">
        <w:t xml:space="preserve">, en son temps avocat du Roi, est pillée, saccagée, et le blé qu’ils ne purent emporter est jeté hors des greniers, par les fenêtres. K. La rivière d’Yonne, ou plusieurs autres sont jetés, étant liés ensemble </w:t>
      </w:r>
      <w:r w:rsidR="00161D5C" w:rsidRPr="00EB1214">
        <w:t xml:space="preserve">trois à quatre </w:t>
      </w:r>
      <w:r w:rsidRPr="00EB1214">
        <w:t>à une pièce de bois par radeau.</w:t>
      </w:r>
    </w:p>
    <w:p w14:paraId="1584EAB3" w14:textId="77777777" w:rsidR="00EB1214" w:rsidRPr="00EB1214" w:rsidRDefault="00EB1214" w:rsidP="00FB4846">
      <w:pPr>
        <w:pStyle w:val="Citationsources"/>
        <w:ind w:right="1076"/>
      </w:pPr>
      <w:r>
        <w:rPr>
          <w:noProof/>
        </w:rPr>
        <w:drawing>
          <wp:anchor distT="0" distB="0" distL="114300" distR="114300" simplePos="0" relativeHeight="251658240" behindDoc="0" locked="0" layoutInCell="1" allowOverlap="1" wp14:anchorId="0288871C" wp14:editId="4AB3EA5A">
            <wp:simplePos x="0" y="0"/>
            <wp:positionH relativeFrom="column">
              <wp:posOffset>5284611</wp:posOffset>
            </wp:positionH>
            <wp:positionV relativeFrom="paragraph">
              <wp:posOffset>5080</wp:posOffset>
            </wp:positionV>
            <wp:extent cx="720000" cy="720000"/>
            <wp:effectExtent l="0" t="0" r="4445" b="4445"/>
            <wp:wrapNone/>
            <wp:docPr id="9" name="Image 9">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hlinkClick r:id="rId34"/>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Pr="00EB1214">
        <w:t xml:space="preserve">Jean-Jacques </w:t>
      </w:r>
      <w:r w:rsidRPr="00EB1214">
        <w:rPr>
          <w:smallCaps/>
        </w:rPr>
        <w:t>Perrissin</w:t>
      </w:r>
      <w:r w:rsidRPr="00EB1214">
        <w:t xml:space="preserve"> et Jacques </w:t>
      </w:r>
      <w:proofErr w:type="spellStart"/>
      <w:r w:rsidRPr="00EB1214">
        <w:rPr>
          <w:smallCaps/>
        </w:rPr>
        <w:t>Tintorel</w:t>
      </w:r>
      <w:proofErr w:type="spellEnd"/>
      <w:r w:rsidRPr="00EB1214">
        <w:t xml:space="preserve">, </w:t>
      </w:r>
      <w:r w:rsidRPr="00EB1214">
        <w:rPr>
          <w:i/>
        </w:rPr>
        <w:t>Quarante tableaux</w:t>
      </w:r>
      <w:r w:rsidRPr="00EB1214">
        <w:t>, Genève, 1570</w:t>
      </w:r>
      <w:r>
        <w:rPr>
          <w:b/>
        </w:rPr>
        <w:br/>
      </w:r>
      <w:r>
        <w:t>pour la version en haute définition </w:t>
      </w:r>
      <w:r>
        <w:sym w:font="Wingdings" w:char="F0E0"/>
      </w:r>
      <w:r>
        <w:t xml:space="preserve"> </w:t>
      </w:r>
    </w:p>
    <w:p w14:paraId="272C9D43" w14:textId="77777777" w:rsidR="00D92B49" w:rsidRDefault="00D92B49" w:rsidP="00620E44">
      <w:pPr>
        <w:pStyle w:val="Titre1"/>
      </w:pPr>
      <w:r w:rsidRPr="001876DF">
        <w:lastRenderedPageBreak/>
        <w:t xml:space="preserve">Document </w:t>
      </w:r>
      <w:r>
        <w:t>2</w:t>
      </w:r>
      <w:r w:rsidRPr="001876DF">
        <w:t>.</w:t>
      </w:r>
      <w:r>
        <w:t xml:space="preserve"> </w:t>
      </w:r>
      <w:r w:rsidR="0085339B">
        <w:t xml:space="preserve">Les sources de </w:t>
      </w:r>
      <w:proofErr w:type="spellStart"/>
      <w:r w:rsidR="0085339B">
        <w:t>Tortorel</w:t>
      </w:r>
      <w:proofErr w:type="spellEnd"/>
      <w:r w:rsidR="0085339B">
        <w:t xml:space="preserve"> et Perrissin </w:t>
      </w:r>
      <w:r w:rsidR="002312CE">
        <w:t xml:space="preserve"> </w:t>
      </w:r>
      <w:r w:rsidR="00CF586A">
        <w:t xml:space="preserve"> </w:t>
      </w:r>
    </w:p>
    <w:p w14:paraId="7599CAB5" w14:textId="77777777" w:rsidR="00CF586A" w:rsidRDefault="000B7230" w:rsidP="00620E44">
      <w:r w:rsidRPr="000B7230">
        <w:t>En effet, les années 1560-1570 sont, on s'en souvient, celles de l'essor de l'imprimerie genevoise, qui, au milieu de ses spécialités éditoriales — textes sacrés et leur commentaires — commence à laisser une place croissante aux ouvrages polémiques et historiques : ces derniers sont trois fois nombreux en 1570 qu'en 1560. La majorité de ces écrits de circonstance s’attache à retracer souvent à chaud les mêmes événements que ceux des planches. Qu’on en juge : du prince de Condé paraît par exemple en 1562 l’</w:t>
      </w:r>
      <w:r w:rsidRPr="000B7230">
        <w:rPr>
          <w:i/>
        </w:rPr>
        <w:t xml:space="preserve">Ample déclaration </w:t>
      </w:r>
      <w:r w:rsidRPr="000B7230">
        <w:rPr>
          <w:rFonts w:ascii="Times New Roman" w:hAnsi="Times New Roman" w:cs="Times New Roman"/>
          <w:i/>
        </w:rPr>
        <w:t>[</w:t>
      </w:r>
      <w:r w:rsidRPr="000B7230">
        <w:rPr>
          <w:i/>
        </w:rPr>
        <w:t>…</w:t>
      </w:r>
      <w:r w:rsidRPr="000B7230">
        <w:rPr>
          <w:rFonts w:ascii="Times New Roman" w:hAnsi="Times New Roman" w:cs="Times New Roman"/>
          <w:i/>
        </w:rPr>
        <w:t>]</w:t>
      </w:r>
      <w:r w:rsidRPr="000B7230">
        <w:rPr>
          <w:i/>
        </w:rPr>
        <w:t xml:space="preserve"> pour </w:t>
      </w:r>
      <w:proofErr w:type="spellStart"/>
      <w:r w:rsidRPr="000B7230">
        <w:rPr>
          <w:i/>
        </w:rPr>
        <w:t>monstrer</w:t>
      </w:r>
      <w:proofErr w:type="spellEnd"/>
      <w:r w:rsidRPr="000B7230">
        <w:rPr>
          <w:i/>
        </w:rPr>
        <w:t xml:space="preserve"> les raisons qui l'ont contraint d'entreprendre... la défense tant de la religion </w:t>
      </w:r>
      <w:r w:rsidRPr="000B7230">
        <w:rPr>
          <w:rFonts w:ascii="Times New Roman" w:hAnsi="Times New Roman" w:cs="Times New Roman"/>
          <w:i/>
        </w:rPr>
        <w:t>[</w:t>
      </w:r>
      <w:r w:rsidRPr="000B7230">
        <w:rPr>
          <w:i/>
        </w:rPr>
        <w:t>…</w:t>
      </w:r>
      <w:r w:rsidRPr="000B7230">
        <w:rPr>
          <w:rFonts w:ascii="Times New Roman" w:hAnsi="Times New Roman" w:cs="Times New Roman"/>
          <w:i/>
        </w:rPr>
        <w:t>]</w:t>
      </w:r>
      <w:r w:rsidRPr="000B7230">
        <w:rPr>
          <w:i/>
        </w:rPr>
        <w:t xml:space="preserve"> que de l'autorité du Roy</w:t>
      </w:r>
      <w:r w:rsidRPr="000B7230">
        <w:t xml:space="preserve">, tandis qu'en 1564 sortent les </w:t>
      </w:r>
      <w:r w:rsidRPr="000B7230">
        <w:rPr>
          <w:i/>
        </w:rPr>
        <w:t>Actes des Martyrs</w:t>
      </w:r>
      <w:r w:rsidRPr="000B7230">
        <w:t xml:space="preserve"> de Jean Crespin, réédités trois ans plus tard à Strasbourg et à nouveau en 1570 à Genève, enrichis et augmentés. </w:t>
      </w:r>
      <w:r>
        <w:rPr>
          <w:rFonts w:ascii="Times New Roman" w:hAnsi="Times New Roman" w:cs="Times New Roman"/>
        </w:rPr>
        <w:t>[</w:t>
      </w:r>
      <w:r w:rsidRPr="000B7230">
        <w:t>…</w:t>
      </w:r>
      <w:r>
        <w:rPr>
          <w:rFonts w:ascii="Times New Roman" w:hAnsi="Times New Roman" w:cs="Times New Roman"/>
        </w:rPr>
        <w:t>]</w:t>
      </w:r>
      <w:r w:rsidRPr="000B7230">
        <w:t xml:space="preserve"> Mais à côté de ces gros ouvrages, pullulent les petites publications, dont certaines ont manifestement inspiré les auteurs des planches, à commencer peut</w:t>
      </w:r>
      <w:r w:rsidR="004B46AF">
        <w:t>-</w:t>
      </w:r>
      <w:r w:rsidRPr="000B7230">
        <w:t>être par le choix des événements : l'exécution d'Anne du Bourg, la conjuration d'Amboise, le colloque de Poissy, les massacres de Vassy et de Sens, les combats ou batailles de Saint-Gilles, Dreux, Jarnac et Moncontour ont fait l'objet de plaquettes très largement diffusées et sans peine parvenues jusqu'à Genève.</w:t>
      </w:r>
      <w:r>
        <w:t xml:space="preserve"> </w:t>
      </w:r>
      <w:r>
        <w:rPr>
          <w:rFonts w:ascii="Times New Roman" w:hAnsi="Times New Roman" w:cs="Times New Roman"/>
        </w:rPr>
        <w:t>[</w:t>
      </w:r>
      <w:r w:rsidRPr="000B7230">
        <w:t>…</w:t>
      </w:r>
      <w:r>
        <w:rPr>
          <w:rFonts w:ascii="Times New Roman" w:hAnsi="Times New Roman" w:cs="Times New Roman"/>
        </w:rPr>
        <w:t>]</w:t>
      </w:r>
      <w:r w:rsidRPr="000B7230">
        <w:t xml:space="preserve"> De cet ensemble de publications émergent cependant celles de Crespin et La Place. Ainsi ces deux juristes de formation et de profession — Crespin est avocat avant de devenir l'éditeur et le propagateur du calvinisme </w:t>
      </w:r>
      <w:r>
        <w:rPr>
          <w:rFonts w:ascii="Times New Roman" w:hAnsi="Times New Roman" w:cs="Times New Roman"/>
        </w:rPr>
        <w:t>[</w:t>
      </w:r>
      <w:r w:rsidRPr="000B7230">
        <w:t>…</w:t>
      </w:r>
      <w:r>
        <w:rPr>
          <w:rFonts w:ascii="Times New Roman" w:hAnsi="Times New Roman" w:cs="Times New Roman"/>
        </w:rPr>
        <w:t>]</w:t>
      </w:r>
      <w:r w:rsidRPr="000B7230">
        <w:t>. On peut établir une filiation directe entre les premiers martyrologes</w:t>
      </w:r>
      <w:r w:rsidR="004B46AF">
        <w:t>*</w:t>
      </w:r>
      <w:r w:rsidRPr="000B7230">
        <w:t xml:space="preserve"> et les premiers récits des guerres de Religion : l'ensemble des planches de </w:t>
      </w:r>
      <w:proofErr w:type="spellStart"/>
      <w:r w:rsidRPr="000B7230">
        <w:t>Tortorel</w:t>
      </w:r>
      <w:proofErr w:type="spellEnd"/>
      <w:r w:rsidRPr="000B7230">
        <w:t xml:space="preserve"> et Perrissin, qui relatent les mêmes épisodes que ceux de ces ouvrages, paraissant avant ou parallèlement à l'entreprise des graveurs, témoignent à leur manière de ce passage d'une historiographie</w:t>
      </w:r>
      <w:r w:rsidR="00995CFB">
        <w:t>*</w:t>
      </w:r>
      <w:r w:rsidRPr="000B7230">
        <w:t xml:space="preserve"> d'abord religieuse à une historiographie plus politique, caractéristique de cette période.</w:t>
      </w:r>
    </w:p>
    <w:p w14:paraId="28028AE0" w14:textId="77777777" w:rsidR="002312CE" w:rsidRDefault="000B7230" w:rsidP="00455CF9">
      <w:pPr>
        <w:pStyle w:val="Citationsources"/>
        <w:spacing w:before="180"/>
      </w:pPr>
      <w:r w:rsidRPr="000B7230">
        <w:rPr>
          <w:rFonts w:cs="Times New Roman (Corps CS)"/>
        </w:rPr>
        <w:t>Pierre</w:t>
      </w:r>
      <w:r w:rsidR="00904144">
        <w:rPr>
          <w:rFonts w:cs="Times New Roman (Corps CS)"/>
          <w:smallCaps/>
        </w:rPr>
        <w:t xml:space="preserve"> </w:t>
      </w:r>
      <w:proofErr w:type="spellStart"/>
      <w:r w:rsidR="00904144" w:rsidRPr="000B7230">
        <w:rPr>
          <w:rFonts w:cs="Times New Roman (Corps CS)"/>
          <w:smallCaps/>
        </w:rPr>
        <w:t>Bonnaure</w:t>
      </w:r>
      <w:proofErr w:type="spellEnd"/>
      <w:r w:rsidR="00904144">
        <w:rPr>
          <w:rFonts w:cs="Times New Roman (Corps CS)"/>
        </w:rPr>
        <w:t>,</w:t>
      </w:r>
      <w:r>
        <w:rPr>
          <w:rFonts w:cs="Times New Roman (Corps CS)"/>
          <w:smallCaps/>
        </w:rPr>
        <w:t> </w:t>
      </w:r>
      <w:r w:rsidR="00904144">
        <w:rPr>
          <w:rFonts w:cs="Times New Roman (Corps CS)"/>
          <w:smallCaps/>
        </w:rPr>
        <w:t>« </w:t>
      </w:r>
      <w:r w:rsidRPr="000B7230">
        <w:rPr>
          <w:rFonts w:cs="Times New Roman (Corps CS)"/>
        </w:rPr>
        <w:t xml:space="preserve">Des images à relire et à </w:t>
      </w:r>
      <w:r w:rsidR="00904144" w:rsidRPr="000B7230">
        <w:rPr>
          <w:rFonts w:cs="Times New Roman (Corps CS)"/>
        </w:rPr>
        <w:t>réhabiliter</w:t>
      </w:r>
      <w:r w:rsidRPr="000B7230">
        <w:rPr>
          <w:rFonts w:cs="Times New Roman (Corps CS)"/>
        </w:rPr>
        <w:t xml:space="preserve"> : l’œuvre gravé de </w:t>
      </w:r>
      <w:proofErr w:type="spellStart"/>
      <w:r w:rsidRPr="000B7230">
        <w:rPr>
          <w:rFonts w:cs="Times New Roman (Corps CS)"/>
        </w:rPr>
        <w:t>Tortorel</w:t>
      </w:r>
      <w:proofErr w:type="spellEnd"/>
      <w:r w:rsidRPr="000B7230">
        <w:rPr>
          <w:rFonts w:cs="Times New Roman (Corps CS)"/>
        </w:rPr>
        <w:t xml:space="preserve"> et Perrissin</w:t>
      </w:r>
      <w:r>
        <w:rPr>
          <w:rFonts w:cs="Times New Roman (Corps CS)"/>
          <w:smallCaps/>
        </w:rPr>
        <w:t xml:space="preserve"> », </w:t>
      </w:r>
      <w:r>
        <w:rPr>
          <w:rFonts w:cs="Times New Roman (Corps CS)"/>
          <w:i/>
          <w:smallCaps/>
        </w:rPr>
        <w:br/>
        <w:t xml:space="preserve">   </w:t>
      </w:r>
      <w:r w:rsidRPr="002312CE">
        <w:rPr>
          <w:rFonts w:cs="Times New Roman (Corps CS)"/>
          <w:i/>
        </w:rPr>
        <w:t>Bulletin de la Société de l'Histoire du Protestantisme Français</w:t>
      </w:r>
      <w:r>
        <w:rPr>
          <w:rFonts w:cs="Times New Roman (Corps CS)"/>
          <w:i/>
          <w:smallCaps/>
        </w:rPr>
        <w:t xml:space="preserve">, </w:t>
      </w:r>
      <w:r w:rsidRPr="002312CE">
        <w:rPr>
          <w:rFonts w:cs="Times New Roman (Corps CS)"/>
        </w:rPr>
        <w:t>138</w:t>
      </w:r>
      <w:r w:rsidRPr="002312CE">
        <w:rPr>
          <w:rFonts w:cs="Times New Roman (Corps CS)"/>
          <w:smallCaps/>
        </w:rPr>
        <w:t xml:space="preserve">-4, </w:t>
      </w:r>
      <w:r w:rsidRPr="002312CE">
        <w:rPr>
          <w:rFonts w:cs="Times New Roman (Corps CS)"/>
        </w:rPr>
        <w:t>1992, p. 475-514</w:t>
      </w:r>
      <w:r w:rsidR="0085339B">
        <w:t>,</w:t>
      </w:r>
      <w:r>
        <w:t xml:space="preserve"> p. 488-490. </w:t>
      </w:r>
    </w:p>
    <w:p w14:paraId="04967671" w14:textId="77777777" w:rsidR="0059125D" w:rsidRDefault="00904144" w:rsidP="0059125D">
      <w:pPr>
        <w:pStyle w:val="Titre1"/>
        <w:spacing w:before="240"/>
      </w:pPr>
      <w:r>
        <w:t>Document 3. Une source indispensable à l’apport de connaissances</w:t>
      </w:r>
      <w:r w:rsidR="0059125D">
        <w:t> : Jean Crespin</w:t>
      </w:r>
    </w:p>
    <w:p w14:paraId="1B4A6FF8" w14:textId="77777777" w:rsidR="0059125D" w:rsidRDefault="0088395F" w:rsidP="0059125D">
      <w:r>
        <w:rPr>
          <w:noProof/>
        </w:rPr>
        <w:drawing>
          <wp:anchor distT="0" distB="0" distL="114300" distR="114300" simplePos="0" relativeHeight="251662336" behindDoc="0" locked="0" layoutInCell="1" allowOverlap="1" wp14:anchorId="73326CD7" wp14:editId="2575C57C">
            <wp:simplePos x="0" y="0"/>
            <wp:positionH relativeFrom="column">
              <wp:posOffset>5131435</wp:posOffset>
            </wp:positionH>
            <wp:positionV relativeFrom="paragraph">
              <wp:posOffset>619266</wp:posOffset>
            </wp:positionV>
            <wp:extent cx="724448" cy="720000"/>
            <wp:effectExtent l="0" t="0" r="0" b="4445"/>
            <wp:wrapNone/>
            <wp:docPr id="20" name="Image 20">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a:hlinkClick r:id="rId36"/>
                    </pic:cNvPr>
                    <pic:cNvPicPr/>
                  </pic:nvPicPr>
                  <pic:blipFill rotWithShape="1">
                    <a:blip r:embed="rId37" cstate="print">
                      <a:extLst>
                        <a:ext uri="{28A0092B-C50C-407E-A947-70E740481C1C}">
                          <a14:useLocalDpi xmlns:a14="http://schemas.microsoft.com/office/drawing/2010/main" val="0"/>
                        </a:ext>
                      </a:extLst>
                    </a:blip>
                    <a:srcRect l="3442" t="3824" r="3057" b="3248"/>
                    <a:stretch/>
                  </pic:blipFill>
                  <pic:spPr bwMode="auto">
                    <a:xfrm>
                      <a:off x="0" y="0"/>
                      <a:ext cx="724448" cy="7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125D">
        <w:t xml:space="preserve">Le martyrologe* de Jean Crespin, paru pour la première fois en 1564, compte une description et une explication détaillées du massacre de Sens, avec celles d’autres massacres de la première guerre de Religion. Il constitue l’une des sources de </w:t>
      </w:r>
      <w:proofErr w:type="spellStart"/>
      <w:r w:rsidR="0059125D">
        <w:t>Tortorel</w:t>
      </w:r>
      <w:proofErr w:type="spellEnd"/>
      <w:r w:rsidR="0059125D">
        <w:t xml:space="preserve"> et Perrissin pour leur estampe (doc. 2) et peut, à ce titre, permettre de mieux éclairer les événements « racontés » et mis en image par les graveurs. </w:t>
      </w:r>
    </w:p>
    <w:p w14:paraId="11B6494D" w14:textId="77777777" w:rsidR="0059125D" w:rsidRPr="0059125D" w:rsidRDefault="0059125D" w:rsidP="0088395F">
      <w:pPr>
        <w:pStyle w:val="Citationsources"/>
        <w:spacing w:before="180"/>
        <w:ind w:right="1360"/>
      </w:pPr>
      <w:r>
        <w:rPr>
          <w:rFonts w:cs="Times New Roman (Corps CS)"/>
        </w:rPr>
        <w:t xml:space="preserve">Jean </w:t>
      </w:r>
      <w:r w:rsidRPr="0088395F">
        <w:rPr>
          <w:rFonts w:cs="Times New Roman (Corps CS)"/>
          <w:smallCaps/>
        </w:rPr>
        <w:t>Crespin</w:t>
      </w:r>
      <w:r>
        <w:rPr>
          <w:rFonts w:cs="Times New Roman (Corps CS)"/>
        </w:rPr>
        <w:t>,</w:t>
      </w:r>
      <w:r>
        <w:rPr>
          <w:rFonts w:cs="Times New Roman (Corps CS)"/>
          <w:smallCaps/>
        </w:rPr>
        <w:t> </w:t>
      </w:r>
      <w:r w:rsidR="0088395F">
        <w:rPr>
          <w:i/>
        </w:rPr>
        <w:t>Histoire des martyrs persécutez et mis à mort pour la vérité de l’</w:t>
      </w:r>
      <w:proofErr w:type="spellStart"/>
      <w:r w:rsidR="0088395F">
        <w:rPr>
          <w:i/>
        </w:rPr>
        <w:t>Evanghelie</w:t>
      </w:r>
      <w:proofErr w:type="spellEnd"/>
      <w:r w:rsidR="0088395F">
        <w:rPr>
          <w:i/>
        </w:rPr>
        <w:t xml:space="preserve"> </w:t>
      </w:r>
      <w:r w:rsidR="0088395F">
        <w:rPr>
          <w:i/>
        </w:rPr>
        <w:br/>
        <w:t xml:space="preserve">depuis le temps des </w:t>
      </w:r>
      <w:proofErr w:type="spellStart"/>
      <w:r w:rsidR="0088395F">
        <w:rPr>
          <w:i/>
        </w:rPr>
        <w:t>Apotres</w:t>
      </w:r>
      <w:proofErr w:type="spellEnd"/>
      <w:r w:rsidR="0088395F">
        <w:rPr>
          <w:i/>
        </w:rPr>
        <w:t xml:space="preserve"> </w:t>
      </w:r>
      <w:proofErr w:type="spellStart"/>
      <w:r w:rsidR="0088395F">
        <w:rPr>
          <w:i/>
        </w:rPr>
        <w:t>jsuqu’à</w:t>
      </w:r>
      <w:proofErr w:type="spellEnd"/>
      <w:r w:rsidR="0088395F">
        <w:rPr>
          <w:i/>
        </w:rPr>
        <w:t xml:space="preserve"> présent (1619)</w:t>
      </w:r>
      <w:r w:rsidR="0088395F">
        <w:t xml:space="preserve">, </w:t>
      </w:r>
      <w:proofErr w:type="spellStart"/>
      <w:r w:rsidR="0088395F">
        <w:t>ed</w:t>
      </w:r>
      <w:proofErr w:type="spellEnd"/>
      <w:r w:rsidR="0088395F">
        <w:t xml:space="preserve">. Daniel </w:t>
      </w:r>
      <w:r w:rsidR="0088395F" w:rsidRPr="0088395F">
        <w:rPr>
          <w:smallCaps/>
        </w:rPr>
        <w:t>Benoit</w:t>
      </w:r>
      <w:r w:rsidR="0088395F">
        <w:t xml:space="preserve"> et Matthieu </w:t>
      </w:r>
      <w:r w:rsidR="0088395F" w:rsidRPr="0088395F">
        <w:rPr>
          <w:smallCaps/>
        </w:rPr>
        <w:t>Lelièvre</w:t>
      </w:r>
      <w:r w:rsidR="0088395F">
        <w:t xml:space="preserve">, 3 vol., </w:t>
      </w:r>
      <w:r w:rsidR="0088395F">
        <w:br/>
        <w:t>Toulouse, Société des livres religieux, 1889, vol. 3, p. 282-286</w:t>
      </w:r>
      <w:r>
        <w:t xml:space="preserve">. </w:t>
      </w:r>
    </w:p>
    <w:p w14:paraId="1926B809" w14:textId="77777777" w:rsidR="00261E8D" w:rsidRDefault="00261E8D" w:rsidP="00455CF9">
      <w:pPr>
        <w:pStyle w:val="Titre1"/>
        <w:spacing w:before="240"/>
      </w:pPr>
      <w:r>
        <w:t xml:space="preserve">Document </w:t>
      </w:r>
      <w:r w:rsidR="00904144">
        <w:t>4</w:t>
      </w:r>
      <w:r>
        <w:t xml:space="preserve">. </w:t>
      </w:r>
      <w:r w:rsidR="00455CF9">
        <w:t>Des logiques et objectifs</w:t>
      </w:r>
      <w:r>
        <w:t xml:space="preserve"> des massacres des guerres de Religion  </w:t>
      </w:r>
    </w:p>
    <w:p w14:paraId="7D6EF96C" w14:textId="77777777" w:rsidR="0085339B" w:rsidRPr="0085339B" w:rsidRDefault="0085339B" w:rsidP="0085339B">
      <w:r>
        <w:t xml:space="preserve">À propos de la question de la violence catholique, toute la première partie des </w:t>
      </w:r>
      <w:r>
        <w:rPr>
          <w:i/>
        </w:rPr>
        <w:t xml:space="preserve">Guerriers de Dieu </w:t>
      </w:r>
      <w:r w:rsidR="00995CFB">
        <w:rPr>
          <w:rFonts w:ascii="Times New Roman" w:hAnsi="Times New Roman" w:cs="Times New Roman"/>
        </w:rPr>
        <w:t>[</w:t>
      </w:r>
      <w:r w:rsidR="00995CFB">
        <w:t>livre de Denis Crouzet, paru en 1994</w:t>
      </w:r>
      <w:r w:rsidR="00995CFB">
        <w:rPr>
          <w:rFonts w:ascii="Times New Roman" w:hAnsi="Times New Roman" w:cs="Times New Roman"/>
        </w:rPr>
        <w:t>]</w:t>
      </w:r>
      <w:r w:rsidR="00995CFB">
        <w:t xml:space="preserve"> </w:t>
      </w:r>
      <w:r w:rsidRPr="0085339B">
        <w:t xml:space="preserve">s’attache à </w:t>
      </w:r>
      <w:r w:rsidR="00455CF9" w:rsidRPr="0085339B">
        <w:t>décrypter</w:t>
      </w:r>
      <w:r w:rsidRPr="0085339B">
        <w:t xml:space="preserve"> l’attente d’un Dieu vengeur fondée sur une sacralisation de l</w:t>
      </w:r>
      <w:r>
        <w:t xml:space="preserve">a violence collective. Cette partie examine de manière très fine une multitude d’exemples locaux mettant en scène violences et massacres. Observons celui de Sens. Le 12 avril 1562 se déroulait un pèlerinage catholique pour demander une grâce particulière à Dieu et l’intercession de l’un de ses saints. L’enthousiasme fut tel que les fidèles finirent la cérémonie en se ruant sur le temps protestant pourtant légal afin de le mettre à terre. Ceux qui s’y trouvaient furent tués, dévêtus et jetés dans l’Yonne. Ceux qui étaient chez eux furent poursuivis et plusieurs périrent de la même manière. Malheur au moine défroqué ou au prêtre converti qui se trouvait dans l’assemblée huguenote, l’acharnement de la foule n’en était que décuplé. En commentant ces événements, ainsi que la gravure qu’en firent </w:t>
      </w:r>
      <w:proofErr w:type="spellStart"/>
      <w:r>
        <w:t>Tortorel</w:t>
      </w:r>
      <w:proofErr w:type="spellEnd"/>
      <w:r>
        <w:t xml:space="preserve"> et Perrissin, Denis Crouzet montre la manière par laquelle cet événement peut se lire comme la manifestation d’un jugement divin exécuté par le peuple élu. Sur le plan iconographique, nous renvoyons d’ailleurs à la lecture de </w:t>
      </w:r>
      <w:r w:rsidR="001A6213">
        <w:t>s</w:t>
      </w:r>
      <w:r>
        <w:t>es pages</w:t>
      </w:r>
      <w:r w:rsidR="001A6213">
        <w:t>,</w:t>
      </w:r>
      <w:r>
        <w:t xml:space="preserve"> qui étudient les analogies entre figuration de l’enfer dans l’imaginaire iconographique des graveurs et gestes accomplis par ces soldats de Dieu. </w:t>
      </w:r>
    </w:p>
    <w:p w14:paraId="2563A15E" w14:textId="77777777" w:rsidR="0085339B" w:rsidRPr="0085339B" w:rsidRDefault="0085339B" w:rsidP="0085339B">
      <w:pPr>
        <w:pStyle w:val="Citationsources"/>
        <w:spacing w:before="120"/>
      </w:pPr>
      <w:proofErr w:type="spellStart"/>
      <w:r w:rsidRPr="00FB4846">
        <w:rPr>
          <w:rFonts w:cs="Times New Roman (Corps CS)"/>
          <w:smallCaps/>
        </w:rPr>
        <w:t>Souriac</w:t>
      </w:r>
      <w:proofErr w:type="spellEnd"/>
      <w:r w:rsidRPr="00FB4846">
        <w:t>, Pierre-Jean</w:t>
      </w:r>
      <w:r>
        <w:t xml:space="preserve">, </w:t>
      </w:r>
      <w:proofErr w:type="spellStart"/>
      <w:r w:rsidRPr="00FB4846">
        <w:rPr>
          <w:smallCaps/>
        </w:rPr>
        <w:t>Souriac</w:t>
      </w:r>
      <w:proofErr w:type="spellEnd"/>
      <w:r>
        <w:t xml:space="preserve">, </w:t>
      </w:r>
      <w:r w:rsidRPr="00FB4846">
        <w:t xml:space="preserve">René, </w:t>
      </w:r>
      <w:r w:rsidRPr="0085339B">
        <w:rPr>
          <w:i/>
        </w:rPr>
        <w:t xml:space="preserve">Les affrontements religieux en Europe </w:t>
      </w:r>
      <w:r w:rsidRPr="0085339B">
        <w:rPr>
          <w:i/>
        </w:rPr>
        <w:br/>
        <w:t xml:space="preserve">(du début du </w:t>
      </w:r>
      <w:proofErr w:type="spellStart"/>
      <w:r w:rsidRPr="0085339B">
        <w:rPr>
          <w:i/>
          <w:smallCaps/>
        </w:rPr>
        <w:t>xvi</w:t>
      </w:r>
      <w:r w:rsidRPr="0085339B">
        <w:rPr>
          <w:i/>
          <w:vertAlign w:val="superscript"/>
        </w:rPr>
        <w:t>e</w:t>
      </w:r>
      <w:proofErr w:type="spellEnd"/>
      <w:r w:rsidRPr="0085339B">
        <w:rPr>
          <w:i/>
        </w:rPr>
        <w:t xml:space="preserve"> siècle au milieu du </w:t>
      </w:r>
      <w:proofErr w:type="spellStart"/>
      <w:r w:rsidRPr="0085339B">
        <w:rPr>
          <w:i/>
          <w:smallCaps/>
        </w:rPr>
        <w:t>xvii</w:t>
      </w:r>
      <w:r w:rsidRPr="0085339B">
        <w:rPr>
          <w:i/>
          <w:vertAlign w:val="superscript"/>
        </w:rPr>
        <w:t>e</w:t>
      </w:r>
      <w:proofErr w:type="spellEnd"/>
      <w:r w:rsidRPr="0085339B">
        <w:rPr>
          <w:i/>
        </w:rPr>
        <w:t xml:space="preserve"> siècle)</w:t>
      </w:r>
      <w:r w:rsidRPr="00FB4846">
        <w:t xml:space="preserve">, Paris, Belin, 2007, p. 24-28. </w:t>
      </w:r>
    </w:p>
    <w:p w14:paraId="7A3253CF" w14:textId="77777777" w:rsidR="00261E8D" w:rsidRDefault="0085339B" w:rsidP="0085339B">
      <w:r>
        <w:lastRenderedPageBreak/>
        <w:t xml:space="preserve">À partir d’une étude de 53 massacres, principalement commis entre 1562 et 1572 par des protestants (19) ou des catholiques (34), Allan </w:t>
      </w:r>
      <w:proofErr w:type="spellStart"/>
      <w:r>
        <w:t>Tulchin</w:t>
      </w:r>
      <w:proofErr w:type="spellEnd"/>
      <w:r>
        <w:t xml:space="preserve"> a quant à lui souligné l’importance du rôle des unités militaires dans ces exactions1. Seuls les soldats expérimentés disposeraient de l’organisation suffisante pour avoir une efficacité meurtrière, car les foules sont plus enclines à piller qu’à tuer. Et le massacre découle d’une stratégie déterminée par une géopolitique confessionnelle. La plupart ont lieu dans les zones disputées par les armées lors des trois premières guerres de religion en 1562 et 1567. Les massacres se commettent là où la minorité confessionnelle est redoutée comme dans la vallée de la Garonne, dans celle du Rhône et en Ile-de-France, et non là où l’une des confessions domine nettement comme en Bretagne et en Béarn, ni là où l’équilibre des forces règne. La violence collective est donc parfois assimilable à des raids militaires à caractère conquérant, vengeur ou punitif dans les zones disputées. Loin d’être spontanés, ces massacres sont souvent ordonnés par les autorités militaires et la rationalité opérationnelle semble dominer sur la violence eschatologique, même si ces massacres ciblent des victimes pour leur religion. De ces analyses, on est enclin à tenir que les troupes refluant d’Italie auraient été un facteur de déclenchement et de radicalisation des tensions religieuses. Les guerres de la péninsule auraient été un terrain d’expérimentation d’une confessionnalisation de la pratique guerrière. </w:t>
      </w:r>
    </w:p>
    <w:p w14:paraId="77C62308" w14:textId="77777777" w:rsidR="0085339B" w:rsidRPr="00261E8D" w:rsidRDefault="0085339B" w:rsidP="0085339B">
      <w:pPr>
        <w:pStyle w:val="Citationsources"/>
        <w:spacing w:before="120"/>
      </w:pPr>
      <w:r>
        <w:t xml:space="preserve">Jean-Marie </w:t>
      </w:r>
      <w:r w:rsidRPr="0085339B">
        <w:rPr>
          <w:smallCaps/>
        </w:rPr>
        <w:t>Le Gall,</w:t>
      </w:r>
      <w:r>
        <w:t xml:space="preserve"> </w:t>
      </w:r>
      <w:r w:rsidRPr="00707BA1">
        <w:rPr>
          <w:i/>
        </w:rPr>
        <w:t>Les guerres de religion. Une lecture religieuse</w:t>
      </w:r>
      <w:r>
        <w:t xml:space="preserve">, Genève, Droz, 2017, p. 166. </w:t>
      </w:r>
    </w:p>
    <w:p w14:paraId="073AED69" w14:textId="77777777" w:rsidR="00DC3593" w:rsidRDefault="00DC3593" w:rsidP="00CF013D">
      <w:pPr>
        <w:pStyle w:val="Titre1"/>
        <w:spacing w:before="120"/>
      </w:pPr>
    </w:p>
    <w:p w14:paraId="7AB2803A" w14:textId="77777777" w:rsidR="00995CFB" w:rsidRPr="001876DF" w:rsidRDefault="00995CFB" w:rsidP="00CF013D">
      <w:pPr>
        <w:pStyle w:val="Titre1"/>
        <w:spacing w:before="120"/>
      </w:pPr>
      <w:r>
        <w:t xml:space="preserve">Vocabulaire </w:t>
      </w:r>
    </w:p>
    <w:p w14:paraId="2CEE1BEB" w14:textId="77777777" w:rsidR="00995CFB" w:rsidRDefault="00995CFB" w:rsidP="00995CFB">
      <w:pPr>
        <w:pStyle w:val="Sansinterligne"/>
        <w:spacing w:before="60" w:after="60" w:line="276" w:lineRule="auto"/>
        <w:jc w:val="both"/>
        <w:rPr>
          <w:sz w:val="21"/>
          <w:szCs w:val="21"/>
        </w:rPr>
      </w:pPr>
      <w:r>
        <w:rPr>
          <w:b/>
          <w:sz w:val="21"/>
          <w:szCs w:val="21"/>
        </w:rPr>
        <w:t>Martyrologe</w:t>
      </w:r>
      <w:r w:rsidRPr="008B1C2C">
        <w:rPr>
          <w:sz w:val="21"/>
          <w:szCs w:val="21"/>
        </w:rPr>
        <w:t> :</w:t>
      </w:r>
      <w:r>
        <w:rPr>
          <w:sz w:val="21"/>
          <w:szCs w:val="21"/>
        </w:rPr>
        <w:t xml:space="preserve"> </w:t>
      </w:r>
      <w:r w:rsidR="00BB07AD">
        <w:rPr>
          <w:sz w:val="21"/>
          <w:szCs w:val="21"/>
        </w:rPr>
        <w:t xml:space="preserve">liste des martyrs/victimes pour une cause. Au </w:t>
      </w:r>
      <w:proofErr w:type="spellStart"/>
      <w:r w:rsidR="00BB07AD">
        <w:rPr>
          <w:smallCaps/>
          <w:sz w:val="21"/>
          <w:szCs w:val="21"/>
        </w:rPr>
        <w:t>xvi</w:t>
      </w:r>
      <w:r w:rsidR="00BB07AD" w:rsidRPr="00BB07AD">
        <w:rPr>
          <w:sz w:val="21"/>
          <w:szCs w:val="21"/>
          <w:vertAlign w:val="superscript"/>
        </w:rPr>
        <w:t>e</w:t>
      </w:r>
      <w:proofErr w:type="spellEnd"/>
      <w:r w:rsidR="00BB07AD">
        <w:rPr>
          <w:sz w:val="21"/>
          <w:szCs w:val="21"/>
        </w:rPr>
        <w:t xml:space="preserve"> siècle, les protestants publient de nombreux récits des massacres, nommant plus ou moins précisément les victimes protestantes et, parfois, catholiques</w:t>
      </w:r>
      <w:r w:rsidRPr="008B1C2C">
        <w:rPr>
          <w:sz w:val="21"/>
          <w:szCs w:val="21"/>
        </w:rPr>
        <w:t>.</w:t>
      </w:r>
      <w:r w:rsidR="00BB07AD">
        <w:rPr>
          <w:sz w:val="21"/>
          <w:szCs w:val="21"/>
        </w:rPr>
        <w:t xml:space="preserve"> </w:t>
      </w:r>
    </w:p>
    <w:p w14:paraId="45B1E11C" w14:textId="77777777" w:rsidR="00DC3593" w:rsidRPr="00995CFB" w:rsidRDefault="00995CFB" w:rsidP="00995CFB">
      <w:pPr>
        <w:pStyle w:val="Sansinterligne"/>
        <w:spacing w:before="60" w:after="60" w:line="276" w:lineRule="auto"/>
        <w:jc w:val="both"/>
        <w:rPr>
          <w:sz w:val="21"/>
          <w:szCs w:val="21"/>
        </w:rPr>
      </w:pPr>
      <w:r w:rsidRPr="00995CFB">
        <w:rPr>
          <w:b/>
          <w:sz w:val="21"/>
          <w:szCs w:val="21"/>
        </w:rPr>
        <w:t>Historiographie</w:t>
      </w:r>
      <w:r>
        <w:rPr>
          <w:sz w:val="21"/>
          <w:szCs w:val="21"/>
        </w:rPr>
        <w:t xml:space="preserve"> : </w:t>
      </w:r>
      <w:r w:rsidR="00C6480B">
        <w:rPr>
          <w:sz w:val="21"/>
          <w:szCs w:val="21"/>
        </w:rPr>
        <w:t>ensemble d’ouvrages et de publications liés à l’activité d’écriture de l’histoire</w:t>
      </w:r>
      <w:r>
        <w:rPr>
          <w:sz w:val="21"/>
          <w:szCs w:val="21"/>
        </w:rPr>
        <w:t>.</w:t>
      </w:r>
      <w:r w:rsidR="00C6480B">
        <w:rPr>
          <w:sz w:val="21"/>
          <w:szCs w:val="21"/>
        </w:rPr>
        <w:t xml:space="preserve"> Cet ensemble se constitue par couches successives, d’accumulation des connaissances sur un phénomène/événement, ainsi que par les différentes interprétations et écoles de pensée qui le font vivre. On n’écrit pas l’histoire au </w:t>
      </w:r>
      <w:proofErr w:type="spellStart"/>
      <w:r w:rsidR="00C6480B">
        <w:rPr>
          <w:smallCaps/>
          <w:sz w:val="21"/>
          <w:szCs w:val="21"/>
        </w:rPr>
        <w:t>xxi</w:t>
      </w:r>
      <w:r w:rsidR="00C6480B" w:rsidRPr="00C6480B">
        <w:rPr>
          <w:sz w:val="21"/>
          <w:szCs w:val="21"/>
          <w:vertAlign w:val="superscript"/>
        </w:rPr>
        <w:t>e</w:t>
      </w:r>
      <w:proofErr w:type="spellEnd"/>
      <w:r w:rsidR="00C6480B">
        <w:rPr>
          <w:sz w:val="21"/>
          <w:szCs w:val="21"/>
        </w:rPr>
        <w:t xml:space="preserve"> siècle comme on l’écrivait dans l’Antiquité ! </w:t>
      </w:r>
    </w:p>
    <w:p w14:paraId="5415C7BC" w14:textId="77777777" w:rsidR="00D92B49" w:rsidRPr="001876DF" w:rsidRDefault="0000002D" w:rsidP="00620E44">
      <w:pPr>
        <w:pStyle w:val="Titre1"/>
      </w:pPr>
      <w:r>
        <w:sym w:font="Wingdings" w:char="F026"/>
      </w:r>
      <w:r>
        <w:t xml:space="preserve"> </w:t>
      </w:r>
      <w:r w:rsidR="00D92B49" w:rsidRPr="001876DF">
        <w:t>Bibliographie sélective</w:t>
      </w:r>
    </w:p>
    <w:p w14:paraId="629C6BF5" w14:textId="77777777" w:rsidR="00455CF9" w:rsidRDefault="00DB2D1C" w:rsidP="002151F8">
      <w:pPr>
        <w:pStyle w:val="Biblio"/>
        <w:rPr>
          <w:smallCaps w:val="0"/>
        </w:rPr>
      </w:pPr>
      <w:r w:rsidRPr="00FB4846">
        <w:t>Benedict</w:t>
      </w:r>
      <w:r w:rsidRPr="00FB4846">
        <w:rPr>
          <w:smallCaps w:val="0"/>
        </w:rPr>
        <w:t xml:space="preserve">, Philip, </w:t>
      </w:r>
      <w:r w:rsidRPr="00FB4846">
        <w:rPr>
          <w:i/>
          <w:smallCaps w:val="0"/>
        </w:rPr>
        <w:t xml:space="preserve">Le regard saisit l’histoire : les guerres, massacres et troubles de </w:t>
      </w:r>
      <w:proofErr w:type="spellStart"/>
      <w:r w:rsidRPr="00FB4846">
        <w:rPr>
          <w:i/>
          <w:smallCaps w:val="0"/>
        </w:rPr>
        <w:t>Tortorel</w:t>
      </w:r>
      <w:proofErr w:type="spellEnd"/>
      <w:r w:rsidRPr="00FB4846">
        <w:rPr>
          <w:i/>
          <w:smallCaps w:val="0"/>
        </w:rPr>
        <w:t xml:space="preserve"> et Perrissin</w:t>
      </w:r>
      <w:r w:rsidRPr="00FB4846">
        <w:rPr>
          <w:smallCaps w:val="0"/>
        </w:rPr>
        <w:t xml:space="preserve">, </w:t>
      </w:r>
      <w:r w:rsidR="00FB4846">
        <w:rPr>
          <w:smallCaps w:val="0"/>
        </w:rPr>
        <w:br/>
        <w:t xml:space="preserve">  </w:t>
      </w:r>
      <w:r w:rsidRPr="00FB4846">
        <w:rPr>
          <w:smallCaps w:val="0"/>
        </w:rPr>
        <w:t xml:space="preserve">Genève, Droz, 2012. </w:t>
      </w:r>
    </w:p>
    <w:p w14:paraId="25E68F17" w14:textId="77777777" w:rsidR="00455CF9" w:rsidRPr="00FB4846" w:rsidRDefault="00455CF9" w:rsidP="002151F8">
      <w:pPr>
        <w:pStyle w:val="Biblio"/>
        <w:rPr>
          <w:smallCaps w:val="0"/>
        </w:rPr>
      </w:pPr>
      <w:proofErr w:type="spellStart"/>
      <w:r w:rsidRPr="006A7F82">
        <w:t>Higman</w:t>
      </w:r>
      <w:proofErr w:type="spellEnd"/>
      <w:r>
        <w:t xml:space="preserve">, </w:t>
      </w:r>
      <w:r w:rsidRPr="00455CF9">
        <w:rPr>
          <w:smallCaps w:val="0"/>
        </w:rPr>
        <w:t xml:space="preserve">Francis, « L’Édit de janvier 1562 », </w:t>
      </w:r>
      <w:r w:rsidRPr="00455CF9">
        <w:rPr>
          <w:i/>
          <w:smallCaps w:val="0"/>
        </w:rPr>
        <w:t>Bulletin de la Société de l’Histoire du Protestantisme Français</w:t>
      </w:r>
      <w:r w:rsidRPr="00455CF9">
        <w:rPr>
          <w:smallCaps w:val="0"/>
        </w:rPr>
        <w:t xml:space="preserve">, </w:t>
      </w:r>
      <w:r>
        <w:rPr>
          <w:smallCaps w:val="0"/>
        </w:rPr>
        <w:br/>
        <w:t xml:space="preserve">  </w:t>
      </w:r>
      <w:r w:rsidRPr="00455CF9">
        <w:rPr>
          <w:smallCaps w:val="0"/>
        </w:rPr>
        <w:t>vol. 144, 1998, p. 697-705</w:t>
      </w:r>
      <w:r w:rsidR="00CF013D">
        <w:rPr>
          <w:smallCaps w:val="0"/>
        </w:rPr>
        <w:t xml:space="preserve">. </w:t>
      </w:r>
    </w:p>
    <w:p w14:paraId="190C2D37" w14:textId="77777777" w:rsidR="002312CE" w:rsidRPr="002312CE" w:rsidRDefault="002312CE" w:rsidP="002151F8">
      <w:pPr>
        <w:pStyle w:val="Biblio"/>
        <w:rPr>
          <w:smallCaps w:val="0"/>
          <w:u w:val="single"/>
        </w:rPr>
      </w:pPr>
      <w:proofErr w:type="spellStart"/>
      <w:r>
        <w:t>Bonnaure</w:t>
      </w:r>
      <w:proofErr w:type="spellEnd"/>
      <w:r>
        <w:t xml:space="preserve">, </w:t>
      </w:r>
      <w:r>
        <w:rPr>
          <w:smallCaps w:val="0"/>
        </w:rPr>
        <w:t>Pierre, « Des images à relire et à réhabili</w:t>
      </w:r>
      <w:r w:rsidR="007D76D4">
        <w:rPr>
          <w:smallCaps w:val="0"/>
        </w:rPr>
        <w:t>t</w:t>
      </w:r>
      <w:r>
        <w:rPr>
          <w:smallCaps w:val="0"/>
        </w:rPr>
        <w:t xml:space="preserve">er : l’œuvre gravé de </w:t>
      </w:r>
      <w:proofErr w:type="spellStart"/>
      <w:r>
        <w:rPr>
          <w:smallCaps w:val="0"/>
        </w:rPr>
        <w:t>Tortorel</w:t>
      </w:r>
      <w:proofErr w:type="spellEnd"/>
      <w:r>
        <w:rPr>
          <w:smallCaps w:val="0"/>
        </w:rPr>
        <w:t xml:space="preserve"> et Perrissin », </w:t>
      </w:r>
      <w:r>
        <w:rPr>
          <w:i/>
          <w:smallCaps w:val="0"/>
        </w:rPr>
        <w:br/>
        <w:t xml:space="preserve">   </w:t>
      </w:r>
      <w:r w:rsidRPr="002312CE">
        <w:rPr>
          <w:i/>
          <w:smallCaps w:val="0"/>
        </w:rPr>
        <w:t>Bulletin de la Société de l'Histoire du Protestantisme Français</w:t>
      </w:r>
      <w:r>
        <w:rPr>
          <w:i/>
          <w:smallCaps w:val="0"/>
        </w:rPr>
        <w:t xml:space="preserve">, </w:t>
      </w:r>
      <w:r w:rsidRPr="002312CE">
        <w:rPr>
          <w:smallCaps w:val="0"/>
        </w:rPr>
        <w:t>138-4, 1992, p. 475-514.</w:t>
      </w:r>
      <w:r>
        <w:rPr>
          <w:i/>
          <w:smallCaps w:val="0"/>
        </w:rPr>
        <w:t xml:space="preserve"> </w:t>
      </w:r>
    </w:p>
    <w:p w14:paraId="032F51E1" w14:textId="77777777" w:rsidR="00C74236" w:rsidRPr="00C74236" w:rsidRDefault="00C74236" w:rsidP="007D76D4">
      <w:pPr>
        <w:pStyle w:val="Titre1"/>
      </w:pPr>
      <w:r w:rsidRPr="00C74236">
        <w:sym w:font="Wingdings" w:char="F025"/>
      </w:r>
      <w:r w:rsidRPr="00C74236">
        <w:t xml:space="preserve"> L’actualité de la recherche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38"/>
        <w:gridCol w:w="1360"/>
      </w:tblGrid>
      <w:tr w:rsidR="007D76D4" w14:paraId="3B7456EA" w14:textId="77777777" w:rsidTr="007D76D4">
        <w:tc>
          <w:tcPr>
            <w:tcW w:w="9298" w:type="dxa"/>
            <w:gridSpan w:val="2"/>
          </w:tcPr>
          <w:p w14:paraId="4964CF5F" w14:textId="77777777" w:rsidR="007D76D4" w:rsidRPr="00647699" w:rsidRDefault="007D76D4" w:rsidP="007D76D4">
            <w:pPr>
              <w:pStyle w:val="Biblio"/>
              <w:spacing w:before="0"/>
            </w:pPr>
            <w:r w:rsidRPr="007D76D4">
              <w:rPr>
                <w:smallCaps w:val="0"/>
              </w:rPr>
              <w:t>Jérémie</w:t>
            </w:r>
            <w:r>
              <w:t xml:space="preserve"> </w:t>
            </w:r>
            <w:r w:rsidRPr="00C74236">
              <w:t>Foa</w:t>
            </w:r>
            <w:r>
              <w:t xml:space="preserve">, </w:t>
            </w:r>
            <w:r w:rsidRPr="007D76D4">
              <w:rPr>
                <w:i/>
                <w:smallCaps w:val="0"/>
              </w:rPr>
              <w:t>Survivre. Une histoire des guerres de religion</w:t>
            </w:r>
            <w:r w:rsidRPr="007D76D4">
              <w:rPr>
                <w:smallCaps w:val="0"/>
              </w:rPr>
              <w:t>, Paris, Seuil, 2024.</w:t>
            </w:r>
            <w:r>
              <w:t xml:space="preserve"> </w:t>
            </w:r>
          </w:p>
        </w:tc>
      </w:tr>
      <w:tr w:rsidR="00D92B49" w14:paraId="6046BB15" w14:textId="77777777" w:rsidTr="00F77E98">
        <w:tc>
          <w:tcPr>
            <w:tcW w:w="7938" w:type="dxa"/>
          </w:tcPr>
          <w:p w14:paraId="793732F6" w14:textId="77777777" w:rsidR="00D92B49" w:rsidRPr="007D76D4" w:rsidRDefault="006051CC" w:rsidP="007D76D4">
            <w:pPr>
              <w:pStyle w:val="Sansinterligne"/>
              <w:ind w:left="177"/>
              <w:jc w:val="both"/>
              <w:rPr>
                <w:i/>
              </w:rPr>
            </w:pPr>
            <w:r w:rsidRPr="007D76D4">
              <w:rPr>
                <w:i/>
              </w:rPr>
              <w:t xml:space="preserve">Les massacres des guerres de Religion ont été expliqués tour à tour par des raisons économiques, sociales et religieuses. Jérémie Foa part du principe que les choses sont plus complexes et que les arguments pour être massacrer ou pour massacrer sont presque systématiquement pluriels. Ce faisant, il pose aussi une question simple : comment faire pour survivre à un massacre ? Grâce à une relecture des sources des </w:t>
            </w:r>
            <w:proofErr w:type="spellStart"/>
            <w:r w:rsidRPr="007D76D4">
              <w:rPr>
                <w:i/>
              </w:rPr>
              <w:t>survivant-es</w:t>
            </w:r>
            <w:proofErr w:type="spellEnd"/>
            <w:r w:rsidRPr="007D76D4">
              <w:rPr>
                <w:i/>
              </w:rPr>
              <w:t xml:space="preserve">, il parvient à montrer les stratégies diverses pour échapper aux tueurs. C’est aussi, pour lui, une manière de mieux comprendre encore les logiques des massacres et de la sélection des victimes.  </w:t>
            </w:r>
          </w:p>
          <w:p w14:paraId="55AAED0B" w14:textId="77777777" w:rsidR="00C74236" w:rsidRPr="00BE0D7D" w:rsidRDefault="00C74236" w:rsidP="007D76D4">
            <w:pPr>
              <w:pStyle w:val="Sansinterligne"/>
              <w:spacing w:before="120"/>
              <w:jc w:val="right"/>
            </w:pPr>
            <w:r w:rsidRPr="006051CC">
              <w:t xml:space="preserve">La recension d’Alexandre </w:t>
            </w:r>
            <w:proofErr w:type="spellStart"/>
            <w:r w:rsidRPr="006051CC">
              <w:rPr>
                <w:smallCaps/>
              </w:rPr>
              <w:t>Goderniaux</w:t>
            </w:r>
            <w:proofErr w:type="spellEnd"/>
            <w:r w:rsidRPr="006051CC">
              <w:t xml:space="preserve">, </w:t>
            </w:r>
            <w:proofErr w:type="spellStart"/>
            <w:r w:rsidR="006051CC" w:rsidRPr="006051CC">
              <w:t>post-doctorant</w:t>
            </w:r>
            <w:proofErr w:type="spellEnd"/>
            <w:r w:rsidR="006051CC" w:rsidRPr="006051CC">
              <w:t xml:space="preserve"> à l’Université de Neuchâtel</w:t>
            </w:r>
            <w:r w:rsidR="006051CC">
              <w:t xml:space="preserve"> </w:t>
            </w:r>
            <w:r w:rsidR="006051CC">
              <w:sym w:font="Wingdings" w:char="F0E0"/>
            </w:r>
          </w:p>
        </w:tc>
        <w:tc>
          <w:tcPr>
            <w:tcW w:w="1360" w:type="dxa"/>
            <w:vAlign w:val="bottom"/>
          </w:tcPr>
          <w:p w14:paraId="1954AB92" w14:textId="77777777" w:rsidR="00D92B49" w:rsidRDefault="007D76D4" w:rsidP="007D76D4">
            <w:pPr>
              <w:ind w:firstLine="0"/>
              <w:jc w:val="center"/>
            </w:pPr>
            <w:r>
              <w:rPr>
                <w:noProof/>
              </w:rPr>
              <w:drawing>
                <wp:inline distT="0" distB="0" distL="0" distR="0" wp14:anchorId="6EECC61B" wp14:editId="0C78E1BD">
                  <wp:extent cx="719955" cy="720000"/>
                  <wp:effectExtent l="0" t="0" r="4445" b="4445"/>
                  <wp:docPr id="5" name="Image 5">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a:hlinkClick r:id="rId38"/>
                          </pic:cNvPr>
                          <pic:cNvPicPr/>
                        </pic:nvPicPr>
                        <pic:blipFill rotWithShape="1">
                          <a:blip r:embed="rId39" cstate="print">
                            <a:extLst>
                              <a:ext uri="{28A0092B-C50C-407E-A947-70E740481C1C}">
                                <a14:useLocalDpi xmlns:a14="http://schemas.microsoft.com/office/drawing/2010/main" val="0"/>
                              </a:ext>
                            </a:extLst>
                          </a:blip>
                          <a:srcRect l="3623" t="4374" r="4625" b="3869"/>
                          <a:stretch/>
                        </pic:blipFill>
                        <pic:spPr bwMode="auto">
                          <a:xfrm>
                            <a:off x="0" y="0"/>
                            <a:ext cx="719955" cy="72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483F391" w14:textId="77777777" w:rsidR="0000002D" w:rsidRDefault="0000002D" w:rsidP="0088395F">
      <w:pPr>
        <w:ind w:firstLine="0"/>
      </w:pPr>
    </w:p>
    <w:p w14:paraId="2523BA79" w14:textId="77777777" w:rsidR="00995CFB" w:rsidRDefault="00995CFB" w:rsidP="00995CFB">
      <w:pPr>
        <w:pStyle w:val="Titre1"/>
      </w:pPr>
      <w:r>
        <w:br w:type="page"/>
      </w:r>
    </w:p>
    <w:p w14:paraId="66B581A8" w14:textId="77777777" w:rsidR="00995CFB" w:rsidRDefault="00995CFB" w:rsidP="00A01ED7">
      <w:pPr>
        <w:pStyle w:val="Titre1"/>
        <w:spacing w:after="240"/>
      </w:pPr>
      <w:r w:rsidRPr="00FF3871">
        <w:lastRenderedPageBreak/>
        <w:sym w:font="Wingdings" w:char="F04F"/>
      </w:r>
      <w:r w:rsidRPr="00FF3871">
        <w:t xml:space="preserve"> </w:t>
      </w:r>
      <w:r w:rsidR="00C151F5">
        <w:t xml:space="preserve">L’apport de connaissances, </w:t>
      </w:r>
      <w:r w:rsidR="00ED597C">
        <w:t xml:space="preserve">une </w:t>
      </w:r>
      <w:r w:rsidR="00C151F5">
        <w:t>étape cl</w:t>
      </w:r>
      <w:r w:rsidR="00ED597C">
        <w:t>é</w:t>
      </w:r>
      <w:r>
        <w:t xml:space="preserve"> : le régime de la preuve des </w:t>
      </w:r>
      <w:proofErr w:type="spellStart"/>
      <w:r>
        <w:t>historien-nes</w:t>
      </w:r>
      <w:proofErr w:type="spellEnd"/>
      <w:r w:rsidRPr="00FF3871">
        <w:t xml:space="preserve"> </w:t>
      </w:r>
    </w:p>
    <w:p w14:paraId="5C3BF1BB" w14:textId="77777777" w:rsidR="00DC3593" w:rsidRDefault="00E2466F" w:rsidP="00A01ED7">
      <w:pPr>
        <w:pStyle w:val="Titre1"/>
        <w:spacing w:before="240" w:after="240"/>
      </w:pPr>
      <w:r w:rsidRPr="00E2466F">
        <w:rPr>
          <w:noProof/>
        </w:rPr>
        <w:drawing>
          <wp:inline distT="0" distB="0" distL="0" distR="0" wp14:anchorId="1478C0BE" wp14:editId="7786EB86">
            <wp:extent cx="5904230" cy="2635885"/>
            <wp:effectExtent l="0" t="0" r="1270" b="571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04230" cy="2635885"/>
                    </a:xfrm>
                    <a:prstGeom prst="rect">
                      <a:avLst/>
                    </a:prstGeom>
                  </pic:spPr>
                </pic:pic>
              </a:graphicData>
            </a:graphic>
          </wp:inline>
        </w:drawing>
      </w:r>
    </w:p>
    <w:p w14:paraId="02B57BC3" w14:textId="77777777" w:rsidR="007E4C1F" w:rsidRPr="00FF3871" w:rsidRDefault="007E4C1F" w:rsidP="007E4C1F">
      <w:pPr>
        <w:pStyle w:val="Titre1"/>
      </w:pPr>
      <w:r w:rsidRPr="00FF3871">
        <w:sym w:font="Wingdings" w:char="F04F"/>
      </w:r>
      <w:r w:rsidRPr="00FF3871">
        <w:t xml:space="preserve"> Comprendre son travail et l’améliorer : l</w:t>
      </w:r>
      <w:r>
        <w:t xml:space="preserve">a construction d’une sous-partie </w:t>
      </w:r>
    </w:p>
    <w:tbl>
      <w:tblPr>
        <w:tblStyle w:val="Grilledutableau1"/>
        <w:tblW w:w="9209" w:type="dxa"/>
        <w:tblLayout w:type="fixed"/>
        <w:tblLook w:val="04A0" w:firstRow="1" w:lastRow="0" w:firstColumn="1" w:lastColumn="0" w:noHBand="0" w:noVBand="1"/>
      </w:tblPr>
      <w:tblGrid>
        <w:gridCol w:w="8784"/>
        <w:gridCol w:w="425"/>
      </w:tblGrid>
      <w:tr w:rsidR="007E4C1F" w:rsidRPr="008734B9" w14:paraId="2383CB04" w14:textId="77777777" w:rsidTr="002E76FE">
        <w:tc>
          <w:tcPr>
            <w:tcW w:w="8784" w:type="dxa"/>
          </w:tcPr>
          <w:p w14:paraId="07599FBD" w14:textId="77777777" w:rsidR="007E4C1F" w:rsidRDefault="007E4C1F" w:rsidP="002E76FE">
            <w:pPr>
              <w:pStyle w:val="Sansinterligne"/>
              <w:spacing w:before="60" w:after="60"/>
              <w:rPr>
                <w:b/>
                <w:sz w:val="22"/>
                <w:szCs w:val="22"/>
              </w:rPr>
            </w:pPr>
            <w:r>
              <w:rPr>
                <w:b/>
                <w:sz w:val="22"/>
                <w:szCs w:val="22"/>
              </w:rPr>
              <w:t>Structure et présentation de la partie dans son ensemble</w:t>
            </w:r>
          </w:p>
        </w:tc>
        <w:tc>
          <w:tcPr>
            <w:tcW w:w="425" w:type="dxa"/>
            <w:shd w:val="clear" w:color="auto" w:fill="BFBFBF" w:themeFill="background1" w:themeFillShade="BF"/>
          </w:tcPr>
          <w:p w14:paraId="1451DC79" w14:textId="77777777" w:rsidR="007E4C1F" w:rsidRPr="008734B9" w:rsidRDefault="007E4C1F" w:rsidP="002E76FE">
            <w:pPr>
              <w:pStyle w:val="Sansinterligne"/>
              <w:spacing w:before="40" w:after="40"/>
              <w:rPr>
                <w:b/>
                <w:sz w:val="22"/>
                <w:szCs w:val="22"/>
              </w:rPr>
            </w:pPr>
          </w:p>
        </w:tc>
      </w:tr>
      <w:tr w:rsidR="007E4C1F" w:rsidRPr="008734B9" w14:paraId="7CE317EE" w14:textId="77777777" w:rsidTr="002E76FE">
        <w:tc>
          <w:tcPr>
            <w:tcW w:w="8784" w:type="dxa"/>
            <w:shd w:val="clear" w:color="auto" w:fill="auto"/>
          </w:tcPr>
          <w:p w14:paraId="12102479" w14:textId="77777777" w:rsidR="007E4C1F" w:rsidRPr="008734B9" w:rsidRDefault="007E4C1F" w:rsidP="002E76FE">
            <w:pPr>
              <w:pStyle w:val="Sansinterligne"/>
              <w:spacing w:before="60" w:after="60"/>
              <w:ind w:left="171"/>
              <w:rPr>
                <w:i/>
                <w:sz w:val="22"/>
                <w:szCs w:val="22"/>
              </w:rPr>
            </w:pPr>
            <w:r>
              <w:rPr>
                <w:i/>
                <w:sz w:val="22"/>
                <w:szCs w:val="22"/>
              </w:rPr>
              <w:t>La partie n’est pas introduite.</w:t>
            </w:r>
          </w:p>
        </w:tc>
        <w:tc>
          <w:tcPr>
            <w:tcW w:w="425" w:type="dxa"/>
            <w:shd w:val="clear" w:color="auto" w:fill="auto"/>
            <w:vAlign w:val="center"/>
          </w:tcPr>
          <w:p w14:paraId="1053E0C8" w14:textId="77777777" w:rsidR="007E4C1F" w:rsidRPr="00736DD1" w:rsidRDefault="007E4C1F" w:rsidP="002E76FE">
            <w:pPr>
              <w:pStyle w:val="Sansinterligne"/>
              <w:spacing w:before="40" w:after="40"/>
              <w:jc w:val="center"/>
              <w:rPr>
                <w:sz w:val="22"/>
                <w:szCs w:val="22"/>
              </w:rPr>
            </w:pPr>
            <w:r w:rsidRPr="00736DD1">
              <w:rPr>
                <w:sz w:val="22"/>
                <w:szCs w:val="22"/>
              </w:rPr>
              <w:t>0</w:t>
            </w:r>
          </w:p>
        </w:tc>
      </w:tr>
      <w:tr w:rsidR="007E4C1F" w:rsidRPr="008734B9" w14:paraId="0791D024" w14:textId="77777777" w:rsidTr="002E76FE">
        <w:tc>
          <w:tcPr>
            <w:tcW w:w="8784" w:type="dxa"/>
            <w:shd w:val="clear" w:color="auto" w:fill="auto"/>
          </w:tcPr>
          <w:p w14:paraId="2F1A01A8" w14:textId="77777777" w:rsidR="007E4C1F" w:rsidRDefault="007E4C1F" w:rsidP="002E76FE">
            <w:pPr>
              <w:pStyle w:val="Sansinterligne"/>
              <w:spacing w:before="60" w:after="60"/>
              <w:ind w:left="171"/>
              <w:rPr>
                <w:i/>
                <w:sz w:val="22"/>
                <w:szCs w:val="22"/>
              </w:rPr>
            </w:pPr>
            <w:r>
              <w:rPr>
                <w:i/>
                <w:sz w:val="22"/>
                <w:szCs w:val="22"/>
              </w:rPr>
              <w:t xml:space="preserve">La partie est introduite sous la forme d’une annonce rudimentaire, qui ne permet de comprendre </w:t>
            </w:r>
            <w:r>
              <w:rPr>
                <w:i/>
                <w:sz w:val="22"/>
                <w:szCs w:val="22"/>
              </w:rPr>
              <w:br/>
              <w:t xml:space="preserve">ni le contenu de la partie (sous-parties), ni la logique argumentative de l’ensemble. </w:t>
            </w:r>
          </w:p>
        </w:tc>
        <w:tc>
          <w:tcPr>
            <w:tcW w:w="425" w:type="dxa"/>
            <w:shd w:val="clear" w:color="auto" w:fill="auto"/>
            <w:vAlign w:val="center"/>
          </w:tcPr>
          <w:p w14:paraId="13BE5364" w14:textId="77777777" w:rsidR="007E4C1F" w:rsidRPr="00736DD1" w:rsidRDefault="007E4C1F" w:rsidP="002E76FE">
            <w:pPr>
              <w:pStyle w:val="Sansinterligne"/>
              <w:spacing w:before="40" w:after="40"/>
              <w:jc w:val="center"/>
              <w:rPr>
                <w:sz w:val="22"/>
                <w:szCs w:val="22"/>
              </w:rPr>
            </w:pPr>
            <w:r w:rsidRPr="00736DD1">
              <w:rPr>
                <w:sz w:val="22"/>
                <w:szCs w:val="22"/>
              </w:rPr>
              <w:t>1</w:t>
            </w:r>
          </w:p>
        </w:tc>
      </w:tr>
      <w:tr w:rsidR="007E4C1F" w:rsidRPr="008734B9" w14:paraId="7A197B93" w14:textId="77777777" w:rsidTr="002E76FE">
        <w:tc>
          <w:tcPr>
            <w:tcW w:w="8784" w:type="dxa"/>
            <w:shd w:val="clear" w:color="auto" w:fill="auto"/>
          </w:tcPr>
          <w:p w14:paraId="7FEA9A04" w14:textId="77777777" w:rsidR="007E4C1F" w:rsidRDefault="007E4C1F" w:rsidP="002E76FE">
            <w:pPr>
              <w:pStyle w:val="Sansinterligne"/>
              <w:spacing w:before="60" w:after="60"/>
              <w:ind w:left="171"/>
              <w:rPr>
                <w:i/>
                <w:sz w:val="22"/>
                <w:szCs w:val="22"/>
              </w:rPr>
            </w:pPr>
            <w:r>
              <w:rPr>
                <w:i/>
                <w:sz w:val="22"/>
                <w:szCs w:val="22"/>
              </w:rPr>
              <w:t xml:space="preserve">La partie est introduite sous la forme d’un court paragraphe (6-7 lignes) détaillant la démonstration de la partie, avant de laisser entrevoir le plan interne à la partie. Cette annonce respecte les règles de l’annonce de plan.  </w:t>
            </w:r>
          </w:p>
        </w:tc>
        <w:tc>
          <w:tcPr>
            <w:tcW w:w="425" w:type="dxa"/>
            <w:shd w:val="clear" w:color="auto" w:fill="auto"/>
            <w:vAlign w:val="center"/>
          </w:tcPr>
          <w:p w14:paraId="66237A58" w14:textId="77777777" w:rsidR="007E4C1F" w:rsidRPr="00736DD1" w:rsidRDefault="007E4C1F" w:rsidP="002E76FE">
            <w:pPr>
              <w:pStyle w:val="Sansinterligne"/>
              <w:spacing w:before="40" w:after="40"/>
              <w:jc w:val="center"/>
              <w:rPr>
                <w:sz w:val="22"/>
                <w:szCs w:val="22"/>
              </w:rPr>
            </w:pPr>
            <w:r w:rsidRPr="00736DD1">
              <w:rPr>
                <w:sz w:val="22"/>
                <w:szCs w:val="22"/>
              </w:rPr>
              <w:t>2</w:t>
            </w:r>
          </w:p>
        </w:tc>
      </w:tr>
      <w:tr w:rsidR="007E4C1F" w:rsidRPr="008734B9" w14:paraId="5E6D545B" w14:textId="77777777" w:rsidTr="002E76FE">
        <w:tc>
          <w:tcPr>
            <w:tcW w:w="8784" w:type="dxa"/>
          </w:tcPr>
          <w:p w14:paraId="3EA6AF0A" w14:textId="77777777" w:rsidR="007E4C1F" w:rsidRPr="008734B9" w:rsidRDefault="007E4C1F" w:rsidP="002E76FE">
            <w:pPr>
              <w:pStyle w:val="Sansinterligne"/>
              <w:spacing w:before="60" w:after="60"/>
              <w:rPr>
                <w:b/>
                <w:sz w:val="22"/>
                <w:szCs w:val="22"/>
              </w:rPr>
            </w:pPr>
            <w:r>
              <w:rPr>
                <w:b/>
                <w:sz w:val="22"/>
                <w:szCs w:val="22"/>
              </w:rPr>
              <w:t xml:space="preserve">Structure et fonctionnement général de la sous-partie </w:t>
            </w:r>
          </w:p>
        </w:tc>
        <w:tc>
          <w:tcPr>
            <w:tcW w:w="425" w:type="dxa"/>
            <w:shd w:val="clear" w:color="auto" w:fill="BFBFBF" w:themeFill="background1" w:themeFillShade="BF"/>
          </w:tcPr>
          <w:p w14:paraId="1B95D732" w14:textId="77777777" w:rsidR="007E4C1F" w:rsidRPr="008734B9" w:rsidRDefault="007E4C1F" w:rsidP="002E76FE">
            <w:pPr>
              <w:pStyle w:val="Sansinterligne"/>
              <w:spacing w:before="40" w:after="40"/>
              <w:rPr>
                <w:b/>
                <w:sz w:val="22"/>
                <w:szCs w:val="22"/>
              </w:rPr>
            </w:pPr>
          </w:p>
        </w:tc>
      </w:tr>
      <w:tr w:rsidR="007E4C1F" w:rsidRPr="008734B9" w14:paraId="41101FB0" w14:textId="77777777" w:rsidTr="002E76FE">
        <w:tc>
          <w:tcPr>
            <w:tcW w:w="8784" w:type="dxa"/>
          </w:tcPr>
          <w:p w14:paraId="234A13EE" w14:textId="77777777" w:rsidR="007E4C1F" w:rsidRPr="008734B9" w:rsidRDefault="007E4C1F" w:rsidP="002E76FE">
            <w:pPr>
              <w:pStyle w:val="Sansinterligne"/>
              <w:spacing w:before="60" w:after="60"/>
              <w:ind w:left="171"/>
              <w:rPr>
                <w:i/>
                <w:sz w:val="22"/>
                <w:szCs w:val="22"/>
              </w:rPr>
            </w:pPr>
            <w:r>
              <w:rPr>
                <w:i/>
                <w:sz w:val="22"/>
                <w:szCs w:val="22"/>
              </w:rPr>
              <w:t xml:space="preserve">La source n’est pas du tout citée de la sous-partie, ou elle ne l’est que sous forme de sous-entendu ou de citation isolée (quelques mots à des fins d’illustration par exemple). Le propos ne tient pas compte de la source.   </w:t>
            </w:r>
          </w:p>
        </w:tc>
        <w:tc>
          <w:tcPr>
            <w:tcW w:w="425" w:type="dxa"/>
            <w:vAlign w:val="center"/>
          </w:tcPr>
          <w:p w14:paraId="6BEB6860" w14:textId="77777777" w:rsidR="007E4C1F" w:rsidRPr="008734B9" w:rsidRDefault="007E4C1F" w:rsidP="002E76FE">
            <w:pPr>
              <w:pStyle w:val="Sansinterligne"/>
              <w:spacing w:before="60" w:after="60"/>
              <w:ind w:left="-10"/>
              <w:jc w:val="center"/>
              <w:rPr>
                <w:sz w:val="22"/>
                <w:szCs w:val="22"/>
              </w:rPr>
            </w:pPr>
            <w:r>
              <w:rPr>
                <w:sz w:val="22"/>
                <w:szCs w:val="22"/>
              </w:rPr>
              <w:t>0</w:t>
            </w:r>
          </w:p>
        </w:tc>
      </w:tr>
      <w:tr w:rsidR="007E4C1F" w:rsidRPr="008734B9" w14:paraId="27987E10" w14:textId="77777777" w:rsidTr="002E76FE">
        <w:tc>
          <w:tcPr>
            <w:tcW w:w="8784" w:type="dxa"/>
          </w:tcPr>
          <w:p w14:paraId="229C83AC" w14:textId="77777777" w:rsidR="007E4C1F" w:rsidRPr="008734B9" w:rsidRDefault="007E4C1F" w:rsidP="002E76FE">
            <w:pPr>
              <w:pStyle w:val="Sansinterligne"/>
              <w:spacing w:before="60" w:after="60"/>
              <w:ind w:left="171"/>
              <w:rPr>
                <w:i/>
                <w:sz w:val="22"/>
                <w:szCs w:val="22"/>
              </w:rPr>
            </w:pPr>
            <w:r>
              <w:rPr>
                <w:i/>
                <w:sz w:val="22"/>
                <w:szCs w:val="22"/>
              </w:rPr>
              <w:t xml:space="preserve">La source n’est citée qu’à des fins illustratives, en milieu ou fin de sous-partie. Le propos ne vise pas à l’expliquer. </w:t>
            </w:r>
          </w:p>
        </w:tc>
        <w:tc>
          <w:tcPr>
            <w:tcW w:w="425" w:type="dxa"/>
            <w:vAlign w:val="center"/>
          </w:tcPr>
          <w:p w14:paraId="69742411" w14:textId="77777777" w:rsidR="007E4C1F" w:rsidRPr="008734B9" w:rsidRDefault="007E4C1F" w:rsidP="002E76FE">
            <w:pPr>
              <w:pStyle w:val="Sansinterligne"/>
              <w:spacing w:before="60" w:after="60"/>
              <w:ind w:left="-10"/>
              <w:jc w:val="center"/>
              <w:rPr>
                <w:sz w:val="22"/>
                <w:szCs w:val="22"/>
              </w:rPr>
            </w:pPr>
            <w:r w:rsidRPr="008734B9">
              <w:rPr>
                <w:sz w:val="22"/>
                <w:szCs w:val="22"/>
              </w:rPr>
              <w:t>1</w:t>
            </w:r>
          </w:p>
        </w:tc>
      </w:tr>
      <w:tr w:rsidR="007E4C1F" w:rsidRPr="008734B9" w14:paraId="2EDFA8A1" w14:textId="77777777" w:rsidTr="002E76FE">
        <w:tc>
          <w:tcPr>
            <w:tcW w:w="8784" w:type="dxa"/>
          </w:tcPr>
          <w:p w14:paraId="2028F625" w14:textId="77777777" w:rsidR="007E4C1F" w:rsidRPr="008734B9" w:rsidRDefault="007E4C1F" w:rsidP="002E76FE">
            <w:pPr>
              <w:pStyle w:val="Sansinterligne"/>
              <w:spacing w:before="60" w:after="60"/>
              <w:ind w:left="171"/>
              <w:rPr>
                <w:i/>
                <w:sz w:val="22"/>
                <w:szCs w:val="22"/>
              </w:rPr>
            </w:pPr>
            <w:r>
              <w:rPr>
                <w:i/>
                <w:sz w:val="22"/>
                <w:szCs w:val="22"/>
              </w:rPr>
              <w:t xml:space="preserve">La sous-partie commence par une citation très courte (moins d’une phrase) de la source, qui en isole le sens. </w:t>
            </w:r>
            <w:r>
              <w:rPr>
                <w:i/>
                <w:sz w:val="22"/>
                <w:szCs w:val="22"/>
              </w:rPr>
              <w:br/>
              <w:t xml:space="preserve">Le commentaire qui suit n’explique pas ou peu le texte. Seules des bribes de phrases sont citées et/ou employées. </w:t>
            </w:r>
          </w:p>
        </w:tc>
        <w:tc>
          <w:tcPr>
            <w:tcW w:w="425" w:type="dxa"/>
            <w:vAlign w:val="center"/>
          </w:tcPr>
          <w:p w14:paraId="5E77A41C" w14:textId="77777777" w:rsidR="007E4C1F" w:rsidRPr="008734B9" w:rsidRDefault="007E4C1F" w:rsidP="002E76FE">
            <w:pPr>
              <w:pStyle w:val="Sansinterligne"/>
              <w:spacing w:before="60" w:after="60"/>
              <w:ind w:left="-10"/>
              <w:jc w:val="center"/>
              <w:rPr>
                <w:sz w:val="22"/>
                <w:szCs w:val="22"/>
              </w:rPr>
            </w:pPr>
            <w:r w:rsidRPr="008734B9">
              <w:rPr>
                <w:sz w:val="22"/>
                <w:szCs w:val="22"/>
              </w:rPr>
              <w:t>2</w:t>
            </w:r>
          </w:p>
        </w:tc>
      </w:tr>
      <w:tr w:rsidR="007E4C1F" w:rsidRPr="008734B9" w14:paraId="774EBAF9" w14:textId="77777777" w:rsidTr="002E76FE">
        <w:tc>
          <w:tcPr>
            <w:tcW w:w="8784" w:type="dxa"/>
          </w:tcPr>
          <w:p w14:paraId="5554F5E3" w14:textId="77777777" w:rsidR="007E4C1F" w:rsidRPr="008734B9" w:rsidRDefault="007E4C1F" w:rsidP="002E76FE">
            <w:pPr>
              <w:pStyle w:val="Sansinterligne"/>
              <w:spacing w:before="60" w:after="60"/>
              <w:ind w:left="171"/>
              <w:rPr>
                <w:i/>
                <w:sz w:val="22"/>
                <w:szCs w:val="22"/>
              </w:rPr>
            </w:pPr>
            <w:r>
              <w:rPr>
                <w:i/>
                <w:sz w:val="22"/>
                <w:szCs w:val="22"/>
              </w:rPr>
              <w:t xml:space="preserve">La sous-partie commence immédiatement ou presque par une citation de la source. Cette citation est assez longue pour ne pas tronquer le sens du texte ou isoler des mots de leur sens (une phrase minimum). D’autres citations sont employées au fil de la sous-partie, pour agrémenter ou nuancer le propos. </w:t>
            </w:r>
          </w:p>
        </w:tc>
        <w:tc>
          <w:tcPr>
            <w:tcW w:w="425" w:type="dxa"/>
            <w:vAlign w:val="center"/>
          </w:tcPr>
          <w:p w14:paraId="3769F7A8" w14:textId="77777777" w:rsidR="007E4C1F" w:rsidRPr="008734B9" w:rsidRDefault="007E4C1F" w:rsidP="002E76FE">
            <w:pPr>
              <w:pStyle w:val="Sansinterligne"/>
              <w:spacing w:before="60" w:after="60"/>
              <w:ind w:left="-10"/>
              <w:jc w:val="center"/>
              <w:rPr>
                <w:sz w:val="22"/>
                <w:szCs w:val="22"/>
              </w:rPr>
            </w:pPr>
            <w:r w:rsidRPr="008734B9">
              <w:rPr>
                <w:sz w:val="22"/>
                <w:szCs w:val="22"/>
              </w:rPr>
              <w:t>3</w:t>
            </w:r>
          </w:p>
        </w:tc>
      </w:tr>
      <w:tr w:rsidR="007E4C1F" w:rsidRPr="008734B9" w14:paraId="41932A0B" w14:textId="77777777" w:rsidTr="002E76FE">
        <w:tc>
          <w:tcPr>
            <w:tcW w:w="8784" w:type="dxa"/>
          </w:tcPr>
          <w:p w14:paraId="2267E595" w14:textId="77777777" w:rsidR="007E4C1F" w:rsidRPr="008734B9" w:rsidRDefault="007E4C1F" w:rsidP="002E76FE">
            <w:pPr>
              <w:pStyle w:val="Sansinterligne"/>
              <w:spacing w:before="60" w:after="60"/>
              <w:rPr>
                <w:b/>
                <w:sz w:val="22"/>
                <w:szCs w:val="22"/>
              </w:rPr>
            </w:pPr>
            <w:r>
              <w:rPr>
                <w:b/>
                <w:sz w:val="22"/>
                <w:szCs w:val="22"/>
              </w:rPr>
              <w:t>La sous-partie explique le texte à l’aide de connaissances factuelles précises et choisies</w:t>
            </w:r>
          </w:p>
        </w:tc>
        <w:tc>
          <w:tcPr>
            <w:tcW w:w="425" w:type="dxa"/>
            <w:shd w:val="clear" w:color="auto" w:fill="BFBFBF" w:themeFill="background1" w:themeFillShade="BF"/>
            <w:vAlign w:val="center"/>
          </w:tcPr>
          <w:p w14:paraId="06DF5A2D" w14:textId="77777777" w:rsidR="007E4C1F" w:rsidRPr="008734B9" w:rsidRDefault="007E4C1F" w:rsidP="002E76FE">
            <w:pPr>
              <w:pStyle w:val="Sansinterligne"/>
              <w:spacing w:before="40" w:after="40"/>
              <w:ind w:left="-10"/>
              <w:jc w:val="center"/>
              <w:rPr>
                <w:b/>
                <w:sz w:val="22"/>
                <w:szCs w:val="22"/>
              </w:rPr>
            </w:pPr>
          </w:p>
        </w:tc>
      </w:tr>
      <w:tr w:rsidR="007E4C1F" w:rsidRPr="008734B9" w14:paraId="0EB0C78E" w14:textId="77777777" w:rsidTr="002E76FE">
        <w:tc>
          <w:tcPr>
            <w:tcW w:w="8784" w:type="dxa"/>
          </w:tcPr>
          <w:p w14:paraId="45C0BC97" w14:textId="77777777" w:rsidR="007E4C1F" w:rsidRPr="008734B9" w:rsidRDefault="007E4C1F" w:rsidP="002E76FE">
            <w:pPr>
              <w:pStyle w:val="Sansinterligne"/>
              <w:spacing w:before="40" w:after="40"/>
              <w:ind w:left="171"/>
              <w:rPr>
                <w:i/>
                <w:sz w:val="22"/>
                <w:szCs w:val="22"/>
              </w:rPr>
            </w:pPr>
            <w:r>
              <w:rPr>
                <w:i/>
                <w:sz w:val="22"/>
                <w:szCs w:val="22"/>
              </w:rPr>
              <w:t xml:space="preserve">Aucune connaissance externe n’est apportée au texte : la sous-partie ne mentionne aucune date, ni événement, </w:t>
            </w:r>
            <w:r>
              <w:rPr>
                <w:i/>
                <w:sz w:val="22"/>
                <w:szCs w:val="22"/>
              </w:rPr>
              <w:br/>
              <w:t xml:space="preserve">ni lieu ni phénomène historique. L’essentiel du commentaire relève de la paraphrase. </w:t>
            </w:r>
          </w:p>
        </w:tc>
        <w:tc>
          <w:tcPr>
            <w:tcW w:w="425" w:type="dxa"/>
            <w:vAlign w:val="center"/>
          </w:tcPr>
          <w:p w14:paraId="0E0FC978" w14:textId="77777777" w:rsidR="007E4C1F" w:rsidRPr="008734B9" w:rsidRDefault="007E4C1F" w:rsidP="002E76FE">
            <w:pPr>
              <w:pStyle w:val="Sansinterligne"/>
              <w:spacing w:before="40" w:after="40"/>
              <w:ind w:left="-10"/>
              <w:jc w:val="center"/>
              <w:rPr>
                <w:sz w:val="22"/>
                <w:szCs w:val="22"/>
              </w:rPr>
            </w:pPr>
            <w:r>
              <w:rPr>
                <w:sz w:val="22"/>
                <w:szCs w:val="22"/>
              </w:rPr>
              <w:t>0</w:t>
            </w:r>
          </w:p>
        </w:tc>
      </w:tr>
      <w:tr w:rsidR="007E4C1F" w:rsidRPr="008734B9" w14:paraId="48A644AC" w14:textId="77777777" w:rsidTr="002E76FE">
        <w:tc>
          <w:tcPr>
            <w:tcW w:w="8784" w:type="dxa"/>
          </w:tcPr>
          <w:p w14:paraId="2EE44696" w14:textId="77777777" w:rsidR="007E4C1F" w:rsidRPr="008734B9" w:rsidRDefault="007E4C1F" w:rsidP="002E76FE">
            <w:pPr>
              <w:pStyle w:val="Sansinterligne"/>
              <w:spacing w:before="40" w:after="40"/>
              <w:ind w:left="171"/>
              <w:rPr>
                <w:i/>
                <w:sz w:val="22"/>
                <w:szCs w:val="22"/>
              </w:rPr>
            </w:pPr>
            <w:r>
              <w:rPr>
                <w:i/>
                <w:sz w:val="22"/>
                <w:szCs w:val="22"/>
              </w:rPr>
              <w:t>Quelques connaissances imprécises ou peu développées viennent renforcer une explication maladroite de la source</w:t>
            </w:r>
            <w:r w:rsidRPr="008734B9">
              <w:rPr>
                <w:i/>
                <w:sz w:val="22"/>
                <w:szCs w:val="22"/>
              </w:rPr>
              <w:t>.</w:t>
            </w:r>
            <w:r>
              <w:rPr>
                <w:i/>
                <w:sz w:val="22"/>
                <w:szCs w:val="22"/>
              </w:rPr>
              <w:t xml:space="preserve"> </w:t>
            </w:r>
          </w:p>
        </w:tc>
        <w:tc>
          <w:tcPr>
            <w:tcW w:w="425" w:type="dxa"/>
            <w:vAlign w:val="center"/>
          </w:tcPr>
          <w:p w14:paraId="0674C495" w14:textId="77777777" w:rsidR="007E4C1F" w:rsidRPr="008734B9" w:rsidRDefault="007E4C1F" w:rsidP="002E76FE">
            <w:pPr>
              <w:pStyle w:val="Sansinterligne"/>
              <w:spacing w:before="40" w:after="40"/>
              <w:ind w:left="-10"/>
              <w:jc w:val="center"/>
              <w:rPr>
                <w:sz w:val="22"/>
                <w:szCs w:val="22"/>
              </w:rPr>
            </w:pPr>
            <w:r w:rsidRPr="008734B9">
              <w:rPr>
                <w:sz w:val="22"/>
                <w:szCs w:val="22"/>
              </w:rPr>
              <w:t>1</w:t>
            </w:r>
          </w:p>
        </w:tc>
      </w:tr>
      <w:tr w:rsidR="007E4C1F" w:rsidRPr="008734B9" w14:paraId="13D0662A" w14:textId="77777777" w:rsidTr="002E76FE">
        <w:tc>
          <w:tcPr>
            <w:tcW w:w="8784" w:type="dxa"/>
          </w:tcPr>
          <w:p w14:paraId="2DA54B55" w14:textId="77777777" w:rsidR="007E4C1F" w:rsidRPr="008734B9" w:rsidRDefault="007E4C1F" w:rsidP="002E76FE">
            <w:pPr>
              <w:pStyle w:val="Sansinterligne"/>
              <w:spacing w:before="40" w:after="40"/>
              <w:ind w:left="171"/>
              <w:rPr>
                <w:i/>
                <w:sz w:val="22"/>
                <w:szCs w:val="22"/>
              </w:rPr>
            </w:pPr>
            <w:r>
              <w:rPr>
                <w:i/>
                <w:sz w:val="22"/>
                <w:szCs w:val="22"/>
              </w:rPr>
              <w:t>Des connaissances précises permettent d’expliquer la source</w:t>
            </w:r>
            <w:r w:rsidRPr="008734B9">
              <w:rPr>
                <w:i/>
                <w:sz w:val="22"/>
                <w:szCs w:val="22"/>
              </w:rPr>
              <w:t>.</w:t>
            </w:r>
            <w:r>
              <w:rPr>
                <w:i/>
                <w:sz w:val="22"/>
                <w:szCs w:val="22"/>
              </w:rPr>
              <w:t xml:space="preserve"> Une partie des informations est en trop </w:t>
            </w:r>
            <w:r>
              <w:rPr>
                <w:i/>
                <w:sz w:val="22"/>
                <w:szCs w:val="22"/>
              </w:rPr>
              <w:br/>
              <w:t xml:space="preserve">(dissertation à propos), ce qui tend à noyer le lecteur sous les informations inutiles. </w:t>
            </w:r>
          </w:p>
        </w:tc>
        <w:tc>
          <w:tcPr>
            <w:tcW w:w="425" w:type="dxa"/>
            <w:vAlign w:val="center"/>
          </w:tcPr>
          <w:p w14:paraId="3947D558" w14:textId="77777777" w:rsidR="007E4C1F" w:rsidRPr="008734B9" w:rsidRDefault="007E4C1F" w:rsidP="002E76FE">
            <w:pPr>
              <w:pStyle w:val="Sansinterligne"/>
              <w:spacing w:before="40" w:after="40"/>
              <w:ind w:left="-10"/>
              <w:jc w:val="center"/>
              <w:rPr>
                <w:sz w:val="22"/>
                <w:szCs w:val="22"/>
              </w:rPr>
            </w:pPr>
            <w:r w:rsidRPr="008734B9">
              <w:rPr>
                <w:sz w:val="22"/>
                <w:szCs w:val="22"/>
              </w:rPr>
              <w:t>2</w:t>
            </w:r>
          </w:p>
        </w:tc>
      </w:tr>
      <w:tr w:rsidR="007E4C1F" w:rsidRPr="008734B9" w14:paraId="7CD29D11" w14:textId="77777777" w:rsidTr="002E76FE">
        <w:tc>
          <w:tcPr>
            <w:tcW w:w="8784" w:type="dxa"/>
          </w:tcPr>
          <w:p w14:paraId="3CEC20E4" w14:textId="77777777" w:rsidR="007E4C1F" w:rsidRPr="008734B9" w:rsidRDefault="007E4C1F" w:rsidP="002E76FE">
            <w:pPr>
              <w:pStyle w:val="Sansinterligne"/>
              <w:spacing w:before="40" w:after="40"/>
              <w:ind w:left="171"/>
              <w:rPr>
                <w:i/>
                <w:sz w:val="22"/>
                <w:szCs w:val="22"/>
              </w:rPr>
            </w:pPr>
            <w:r>
              <w:rPr>
                <w:i/>
                <w:sz w:val="22"/>
                <w:szCs w:val="22"/>
              </w:rPr>
              <w:t>Les connaissances sont précises et choisies pour expliquer parfaitement (et uniquement) la source commentée</w:t>
            </w:r>
            <w:r w:rsidRPr="008734B9">
              <w:rPr>
                <w:i/>
                <w:sz w:val="22"/>
                <w:szCs w:val="22"/>
              </w:rPr>
              <w:t>.</w:t>
            </w:r>
            <w:r>
              <w:rPr>
                <w:i/>
                <w:sz w:val="22"/>
                <w:szCs w:val="22"/>
              </w:rPr>
              <w:t xml:space="preserve"> </w:t>
            </w:r>
          </w:p>
        </w:tc>
        <w:tc>
          <w:tcPr>
            <w:tcW w:w="425" w:type="dxa"/>
            <w:vAlign w:val="center"/>
          </w:tcPr>
          <w:p w14:paraId="49B6972E" w14:textId="77777777" w:rsidR="007E4C1F" w:rsidRPr="008734B9" w:rsidRDefault="007E4C1F" w:rsidP="002E76FE">
            <w:pPr>
              <w:pStyle w:val="Sansinterligne"/>
              <w:spacing w:before="40" w:after="40"/>
              <w:ind w:left="-10"/>
              <w:jc w:val="center"/>
              <w:rPr>
                <w:sz w:val="22"/>
                <w:szCs w:val="22"/>
              </w:rPr>
            </w:pPr>
            <w:r w:rsidRPr="008734B9">
              <w:rPr>
                <w:sz w:val="22"/>
                <w:szCs w:val="22"/>
              </w:rPr>
              <w:t>3</w:t>
            </w:r>
          </w:p>
        </w:tc>
      </w:tr>
      <w:tr w:rsidR="007E4C1F" w:rsidRPr="008734B9" w14:paraId="147CFCC2" w14:textId="77777777" w:rsidTr="002E76FE">
        <w:tc>
          <w:tcPr>
            <w:tcW w:w="8784" w:type="dxa"/>
          </w:tcPr>
          <w:p w14:paraId="36E0A1D1" w14:textId="77777777" w:rsidR="007E4C1F" w:rsidRPr="008734B9" w:rsidRDefault="007E4C1F" w:rsidP="002E76FE">
            <w:pPr>
              <w:pStyle w:val="Sansinterligne"/>
              <w:spacing w:before="40" w:after="40"/>
              <w:rPr>
                <w:b/>
                <w:sz w:val="22"/>
                <w:szCs w:val="22"/>
              </w:rPr>
            </w:pPr>
            <w:r>
              <w:rPr>
                <w:b/>
                <w:sz w:val="22"/>
                <w:szCs w:val="22"/>
              </w:rPr>
              <w:t xml:space="preserve">Démonstration interne à la sous-partie </w:t>
            </w:r>
            <w:r w:rsidRPr="008734B9">
              <w:rPr>
                <w:b/>
                <w:sz w:val="22"/>
                <w:szCs w:val="22"/>
              </w:rPr>
              <w:t xml:space="preserve"> </w:t>
            </w:r>
          </w:p>
        </w:tc>
        <w:tc>
          <w:tcPr>
            <w:tcW w:w="425" w:type="dxa"/>
            <w:shd w:val="clear" w:color="auto" w:fill="BFBFBF" w:themeFill="background1" w:themeFillShade="BF"/>
            <w:vAlign w:val="center"/>
          </w:tcPr>
          <w:p w14:paraId="62ACA684" w14:textId="77777777" w:rsidR="007E4C1F" w:rsidRPr="008734B9" w:rsidRDefault="007E4C1F" w:rsidP="002E76FE">
            <w:pPr>
              <w:pStyle w:val="Sansinterligne"/>
              <w:spacing w:before="40" w:after="40"/>
              <w:ind w:left="-10"/>
              <w:jc w:val="center"/>
              <w:rPr>
                <w:b/>
                <w:sz w:val="22"/>
                <w:szCs w:val="22"/>
              </w:rPr>
            </w:pPr>
          </w:p>
        </w:tc>
      </w:tr>
      <w:tr w:rsidR="007E4C1F" w:rsidRPr="008734B9" w14:paraId="3AD7B5A5" w14:textId="77777777" w:rsidTr="002E76FE">
        <w:tc>
          <w:tcPr>
            <w:tcW w:w="8784" w:type="dxa"/>
          </w:tcPr>
          <w:p w14:paraId="19F95A0C" w14:textId="77777777" w:rsidR="007E4C1F" w:rsidRPr="008734B9" w:rsidRDefault="007E4C1F" w:rsidP="002E76FE">
            <w:pPr>
              <w:pStyle w:val="Sansinterligne"/>
              <w:spacing w:before="40" w:after="40"/>
              <w:ind w:left="171"/>
              <w:rPr>
                <w:i/>
                <w:sz w:val="22"/>
                <w:szCs w:val="22"/>
              </w:rPr>
            </w:pPr>
            <w:r>
              <w:rPr>
                <w:i/>
                <w:sz w:val="22"/>
                <w:szCs w:val="22"/>
              </w:rPr>
              <w:t xml:space="preserve">La sous-partie ne donne lieu à aucune forme d’analyse ou d’interprétation. </w:t>
            </w:r>
            <w:r>
              <w:rPr>
                <w:i/>
                <w:sz w:val="22"/>
                <w:szCs w:val="22"/>
              </w:rPr>
              <w:br/>
              <w:t xml:space="preserve">Le texte n’est même plus cité en fin de sous-partie, ou bien il ne l’est qu’à des fins illustratives. </w:t>
            </w:r>
          </w:p>
        </w:tc>
        <w:tc>
          <w:tcPr>
            <w:tcW w:w="425" w:type="dxa"/>
            <w:vAlign w:val="center"/>
          </w:tcPr>
          <w:p w14:paraId="0E004159" w14:textId="77777777" w:rsidR="007E4C1F" w:rsidRPr="008734B9" w:rsidRDefault="007E4C1F" w:rsidP="002E76FE">
            <w:pPr>
              <w:pStyle w:val="Sansinterligne"/>
              <w:spacing w:before="40" w:after="40"/>
              <w:ind w:left="-10"/>
              <w:jc w:val="center"/>
              <w:rPr>
                <w:sz w:val="22"/>
                <w:szCs w:val="22"/>
              </w:rPr>
            </w:pPr>
            <w:r>
              <w:rPr>
                <w:sz w:val="22"/>
                <w:szCs w:val="22"/>
              </w:rPr>
              <w:t>0</w:t>
            </w:r>
          </w:p>
        </w:tc>
      </w:tr>
      <w:tr w:rsidR="007E4C1F" w:rsidRPr="008734B9" w14:paraId="34583DCB" w14:textId="77777777" w:rsidTr="002E76FE">
        <w:tc>
          <w:tcPr>
            <w:tcW w:w="8784" w:type="dxa"/>
          </w:tcPr>
          <w:p w14:paraId="00604B45" w14:textId="77777777" w:rsidR="007E4C1F" w:rsidRPr="008734B9" w:rsidRDefault="007E4C1F" w:rsidP="002E76FE">
            <w:pPr>
              <w:pStyle w:val="Sansinterligne"/>
              <w:spacing w:before="40" w:after="40"/>
              <w:ind w:left="171"/>
              <w:rPr>
                <w:i/>
                <w:sz w:val="22"/>
                <w:szCs w:val="22"/>
              </w:rPr>
            </w:pPr>
            <w:r>
              <w:rPr>
                <w:i/>
                <w:sz w:val="22"/>
                <w:szCs w:val="22"/>
              </w:rPr>
              <w:t xml:space="preserve">Une analyse est donnée en début ou fin de sous-partie, </w:t>
            </w:r>
            <w:r>
              <w:rPr>
                <w:i/>
                <w:sz w:val="22"/>
                <w:szCs w:val="22"/>
              </w:rPr>
              <w:br/>
              <w:t xml:space="preserve">mais de façon trop déconnectée des connaissances factuelles pour mettre en exergue un point donné de la source.  </w:t>
            </w:r>
          </w:p>
        </w:tc>
        <w:tc>
          <w:tcPr>
            <w:tcW w:w="425" w:type="dxa"/>
            <w:vAlign w:val="center"/>
          </w:tcPr>
          <w:p w14:paraId="09343EC2" w14:textId="77777777" w:rsidR="007E4C1F" w:rsidRPr="008734B9" w:rsidRDefault="007E4C1F" w:rsidP="002E76FE">
            <w:pPr>
              <w:pStyle w:val="Sansinterligne"/>
              <w:spacing w:before="40" w:after="40"/>
              <w:ind w:left="-10"/>
              <w:jc w:val="center"/>
              <w:rPr>
                <w:sz w:val="22"/>
                <w:szCs w:val="22"/>
              </w:rPr>
            </w:pPr>
            <w:r w:rsidRPr="008734B9">
              <w:rPr>
                <w:sz w:val="22"/>
                <w:szCs w:val="22"/>
              </w:rPr>
              <w:t>1</w:t>
            </w:r>
          </w:p>
        </w:tc>
      </w:tr>
      <w:tr w:rsidR="007E4C1F" w:rsidRPr="008734B9" w14:paraId="19091AD7" w14:textId="77777777" w:rsidTr="002E76FE">
        <w:tc>
          <w:tcPr>
            <w:tcW w:w="8784" w:type="dxa"/>
          </w:tcPr>
          <w:p w14:paraId="38476822" w14:textId="77777777" w:rsidR="007E4C1F" w:rsidRPr="008734B9" w:rsidRDefault="007E4C1F" w:rsidP="002E76FE">
            <w:pPr>
              <w:pStyle w:val="Sansinterligne"/>
              <w:spacing w:before="40" w:after="40"/>
              <w:ind w:left="171"/>
              <w:rPr>
                <w:i/>
                <w:sz w:val="22"/>
                <w:szCs w:val="22"/>
              </w:rPr>
            </w:pPr>
            <w:r>
              <w:rPr>
                <w:i/>
                <w:sz w:val="22"/>
                <w:szCs w:val="22"/>
              </w:rPr>
              <w:t>Les connaissances factuelles, précises et liées au texte, permettent d’amener à une analyse plus générale quant aux extraits de la source cités au début de la sous-partie. Cette analyse amène logiquement vers la sous-partie suivante</w:t>
            </w:r>
            <w:r w:rsidRPr="008734B9">
              <w:rPr>
                <w:i/>
                <w:sz w:val="22"/>
                <w:szCs w:val="22"/>
              </w:rPr>
              <w:t xml:space="preserve">. </w:t>
            </w:r>
          </w:p>
        </w:tc>
        <w:tc>
          <w:tcPr>
            <w:tcW w:w="425" w:type="dxa"/>
            <w:vAlign w:val="center"/>
          </w:tcPr>
          <w:p w14:paraId="2672B150" w14:textId="77777777" w:rsidR="007E4C1F" w:rsidRPr="008734B9" w:rsidRDefault="007E4C1F" w:rsidP="002E76FE">
            <w:pPr>
              <w:pStyle w:val="Sansinterligne"/>
              <w:spacing w:before="40" w:after="40"/>
              <w:ind w:left="-10"/>
              <w:jc w:val="center"/>
              <w:rPr>
                <w:sz w:val="22"/>
                <w:szCs w:val="22"/>
              </w:rPr>
            </w:pPr>
            <w:r w:rsidRPr="008734B9">
              <w:rPr>
                <w:sz w:val="22"/>
                <w:szCs w:val="22"/>
              </w:rPr>
              <w:t>2</w:t>
            </w:r>
          </w:p>
        </w:tc>
      </w:tr>
    </w:tbl>
    <w:p w14:paraId="0D57563E" w14:textId="77777777" w:rsidR="00995CFB" w:rsidRDefault="00995CFB" w:rsidP="0088395F">
      <w:pPr>
        <w:ind w:firstLine="0"/>
        <w:sectPr w:rsidR="00995CFB" w:rsidSect="002151F8">
          <w:type w:val="evenPage"/>
          <w:pgSz w:w="11906" w:h="16838"/>
          <w:pgMar w:top="964" w:right="1304" w:bottom="1134" w:left="1304" w:header="709" w:footer="709" w:gutter="0"/>
          <w:cols w:space="708"/>
          <w:docGrid w:linePitch="360"/>
        </w:sectPr>
      </w:pPr>
    </w:p>
    <w:p w14:paraId="6A943B79" w14:textId="77777777" w:rsidR="00A77E43" w:rsidRDefault="00A77E43" w:rsidP="00620E44">
      <w:pPr>
        <w:pStyle w:val="Titre"/>
        <w:sectPr w:rsidR="00A77E43" w:rsidSect="002151F8">
          <w:type w:val="evenPage"/>
          <w:pgSz w:w="11906" w:h="16838"/>
          <w:pgMar w:top="964" w:right="1304" w:bottom="1134" w:left="1304" w:header="709" w:footer="709" w:gutter="0"/>
          <w:cols w:space="708"/>
          <w:docGrid w:linePitch="360"/>
        </w:sectPr>
      </w:pPr>
      <w:bookmarkStart w:id="9" w:name="_Toc185425569"/>
    </w:p>
    <w:p w14:paraId="53BA7E94" w14:textId="77777777" w:rsidR="0000002D" w:rsidRPr="009D6DD9" w:rsidRDefault="0000002D" w:rsidP="00620E44">
      <w:pPr>
        <w:pStyle w:val="Titre"/>
      </w:pPr>
      <w:r w:rsidRPr="009D6DD9">
        <w:lastRenderedPageBreak/>
        <w:t xml:space="preserve">Séance </w:t>
      </w:r>
      <w:r>
        <w:t>5</w:t>
      </w:r>
      <w:r w:rsidR="001D60D4">
        <w:t xml:space="preserve"> (2)</w:t>
      </w:r>
      <w:r w:rsidRPr="009D6DD9">
        <w:br/>
      </w:r>
      <w:r w:rsidRPr="001D60D4">
        <w:rPr>
          <w:b/>
        </w:rPr>
        <w:t>Structurer une explication de document</w:t>
      </w:r>
      <w:bookmarkEnd w:id="9"/>
      <w:r>
        <w:t xml:space="preserve"> </w:t>
      </w:r>
      <w:r w:rsidRPr="009D6DD9">
        <w:t xml:space="preserve"> </w:t>
      </w:r>
    </w:p>
    <w:p w14:paraId="3496C3A4" w14:textId="77777777" w:rsidR="0000002D" w:rsidRPr="001876DF" w:rsidRDefault="0000002D" w:rsidP="00620E44">
      <w:pPr>
        <w:pStyle w:val="Titre1"/>
      </w:pPr>
      <w:r w:rsidRPr="001876DF">
        <w:t xml:space="preserve">Document 1. </w:t>
      </w:r>
      <w:r>
        <w:t xml:space="preserve">Le massacre de la Saint-Barthélemy peint par François Dubois </w:t>
      </w:r>
    </w:p>
    <w:p w14:paraId="16DC362F" w14:textId="77777777" w:rsidR="00C03CA1" w:rsidRPr="00C03CA1" w:rsidRDefault="00DB2D1C" w:rsidP="007A1C0B">
      <w:pPr>
        <w:pStyle w:val="Sansinterligne"/>
        <w:rPr>
          <w:lang w:eastAsia="fr-FR"/>
        </w:rPr>
      </w:pPr>
      <w:r>
        <w:rPr>
          <w:noProof/>
          <w:lang w:eastAsia="fr-FR"/>
        </w:rPr>
        <w:drawing>
          <wp:anchor distT="0" distB="0" distL="114300" distR="114300" simplePos="0" relativeHeight="251660288" behindDoc="1" locked="0" layoutInCell="1" allowOverlap="1" wp14:anchorId="0E065DDB" wp14:editId="254B5CDF">
            <wp:simplePos x="0" y="0"/>
            <wp:positionH relativeFrom="column">
              <wp:posOffset>5041636</wp:posOffset>
            </wp:positionH>
            <wp:positionV relativeFrom="paragraph">
              <wp:posOffset>19050</wp:posOffset>
            </wp:positionV>
            <wp:extent cx="725805" cy="719455"/>
            <wp:effectExtent l="0" t="0" r="0" b="4445"/>
            <wp:wrapNone/>
            <wp:docPr id="12" name="Image 12">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a:hlinkClick r:id="rId41"/>
                    </pic:cNvPr>
                    <pic:cNvPicPr/>
                  </pic:nvPicPr>
                  <pic:blipFill rotWithShape="1">
                    <a:blip r:embed="rId42" cstate="print">
                      <a:extLst>
                        <a:ext uri="{28A0092B-C50C-407E-A947-70E740481C1C}">
                          <a14:useLocalDpi xmlns:a14="http://schemas.microsoft.com/office/drawing/2010/main" val="0"/>
                        </a:ext>
                      </a:extLst>
                    </a:blip>
                    <a:srcRect l="3361" t="3799" r="2899" b="3278"/>
                    <a:stretch/>
                  </pic:blipFill>
                  <pic:spPr bwMode="auto">
                    <a:xfrm>
                      <a:off x="0" y="0"/>
                      <a:ext cx="725805" cy="71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59264" behindDoc="0" locked="0" layoutInCell="1" allowOverlap="1" wp14:anchorId="5736A755" wp14:editId="66BE5D4A">
                <wp:simplePos x="0" y="0"/>
                <wp:positionH relativeFrom="column">
                  <wp:posOffset>4976866</wp:posOffset>
                </wp:positionH>
                <wp:positionV relativeFrom="paragraph">
                  <wp:posOffset>816610</wp:posOffset>
                </wp:positionV>
                <wp:extent cx="793115" cy="4994275"/>
                <wp:effectExtent l="0" t="0" r="0" b="0"/>
                <wp:wrapNone/>
                <wp:docPr id="11" name="Zone de texte 11"/>
                <wp:cNvGraphicFramePr/>
                <a:graphic xmlns:a="http://schemas.openxmlformats.org/drawingml/2006/main">
                  <a:graphicData uri="http://schemas.microsoft.com/office/word/2010/wordprocessingShape">
                    <wps:wsp>
                      <wps:cNvSpPr txBox="1"/>
                      <wps:spPr>
                        <a:xfrm>
                          <a:off x="0" y="0"/>
                          <a:ext cx="793115" cy="4994275"/>
                        </a:xfrm>
                        <a:prstGeom prst="rect">
                          <a:avLst/>
                        </a:prstGeom>
                        <a:solidFill>
                          <a:schemeClr val="lt1"/>
                        </a:solidFill>
                        <a:ln w="6350">
                          <a:noFill/>
                        </a:ln>
                      </wps:spPr>
                      <wps:txbx>
                        <w:txbxContent>
                          <w:p w14:paraId="553E999E" w14:textId="77777777" w:rsidR="000E16A3" w:rsidRPr="00DB2D1C" w:rsidRDefault="000E16A3" w:rsidP="007A1C0B">
                            <w:pPr>
                              <w:pStyle w:val="Citationsources"/>
                              <w:spacing w:before="0"/>
                            </w:pPr>
                            <w:r>
                              <w:t xml:space="preserve">François </w:t>
                            </w:r>
                            <w:r>
                              <w:rPr>
                                <w:smallCaps/>
                              </w:rPr>
                              <w:t>Dubois</w:t>
                            </w:r>
                            <w:r>
                              <w:t xml:space="preserve">, </w:t>
                            </w:r>
                            <w:r w:rsidRPr="00DB2D1C">
                              <w:rPr>
                                <w:i/>
                              </w:rPr>
                              <w:t>Le massacre de la Saint-Barthélemy</w:t>
                            </w:r>
                            <w:r>
                              <w:t xml:space="preserve">, v. 1572-1584, </w:t>
                            </w:r>
                            <w:r>
                              <w:br/>
                              <w:t xml:space="preserve">huile sur bois de noyer, </w:t>
                            </w:r>
                            <w:r w:rsidRPr="00DB2D1C">
                              <w:t>93,5 x 154,1 cm</w:t>
                            </w:r>
                            <w:r>
                              <w:t>, Lausanne, Musée Cantonnal des Beaux-Arts.</w:t>
                            </w:r>
                            <w:r>
                              <w:br/>
                            </w:r>
                            <w:r>
                              <w:rPr>
                                <w:i/>
                              </w:rPr>
                              <w:br/>
                            </w:r>
                            <w:r w:rsidRPr="00DB2D1C">
                              <w:rPr>
                                <w:i/>
                              </w:rPr>
                              <w:t xml:space="preserve">Notice du tableau sur le site du musée </w:t>
                            </w:r>
                            <w:r w:rsidRPr="00DB2D1C">
                              <w:sym w:font="Wingdings" w:char="F0E0"/>
                            </w:r>
                            <w:r w:rsidRPr="00DB2D1C">
                              <w:t xml:space="preserve"> </w:t>
                            </w:r>
                          </w:p>
                          <w:p w14:paraId="5D9838A2" w14:textId="77777777" w:rsidR="000E16A3" w:rsidRDefault="000E16A3" w:rsidP="007A1C0B">
                            <w:pPr>
                              <w:pStyle w:val="Citationsources"/>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736A755" id="_x0000_t202" coordsize="21600,21600" o:spt="202" path="m,l,21600r21600,l21600,xe">
                <v:stroke joinstyle="miter"/>
                <v:path gradientshapeok="t" o:connecttype="rect"/>
              </v:shapetype>
              <v:shape id="Zone de texte 11" o:spid="_x0000_s1026" type="#_x0000_t202" style="position:absolute;margin-left:391.9pt;margin-top:64.3pt;width:62.45pt;height:393.2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" fillcolor="white [3201]" stroked="f" strokeweight=".5pt">
                <v:textbox style="layout-flow:vertical;mso-layout-flow-alt:bottom-to-top">
                  <w:txbxContent>
                    <w:p w14:paraId="553E999E" w14:textId="77777777" w:rsidR="000E16A3" w:rsidRPr="00DB2D1C" w:rsidRDefault="000E16A3" w:rsidP="007A1C0B">
                      <w:pPr>
                        <w:pStyle w:val="Citationsources"/>
                        <w:spacing w:before="0"/>
                      </w:pPr>
                      <w:r>
                        <w:t xml:space="preserve">François </w:t>
                      </w:r>
                      <w:r>
                        <w:rPr>
                          <w:smallCaps/>
                        </w:rPr>
                        <w:t>Dubois</w:t>
                      </w:r>
                      <w:r>
                        <w:t xml:space="preserve">, </w:t>
                      </w:r>
                      <w:r w:rsidRPr="00DB2D1C">
                        <w:rPr>
                          <w:i/>
                        </w:rPr>
                        <w:t>Le massacre de la Saint-Barthélemy</w:t>
                      </w:r>
                      <w:r>
                        <w:t xml:space="preserve">, v. 1572-1584, </w:t>
                      </w:r>
                      <w:r>
                        <w:br/>
                        <w:t xml:space="preserve">huile sur bois de noyer, </w:t>
                      </w:r>
                      <w:r w:rsidRPr="00DB2D1C">
                        <w:t>93,5 x 154,1 cm</w:t>
                      </w:r>
                      <w:r>
                        <w:t>, Lausanne, Musée Cantonnal des Beaux-Arts.</w:t>
                      </w:r>
                      <w:r>
                        <w:br/>
                      </w:r>
                      <w:r>
                        <w:rPr>
                          <w:i/>
                        </w:rPr>
                        <w:br/>
                      </w:r>
                      <w:r w:rsidRPr="00DB2D1C">
                        <w:rPr>
                          <w:i/>
                        </w:rPr>
                        <w:t xml:space="preserve">Notice du tableau sur le site du musée </w:t>
                      </w:r>
                      <w:r w:rsidRPr="00DB2D1C">
                        <w:sym w:font="Wingdings" w:char="F0E0"/>
                      </w:r>
                      <w:r w:rsidRPr="00DB2D1C">
                        <w:t xml:space="preserve"> </w:t>
                      </w:r>
                    </w:p>
                    <w:p w14:paraId="5D9838A2" w14:textId="77777777" w:rsidR="000E16A3" w:rsidRDefault="000E16A3" w:rsidP="007A1C0B">
                      <w:pPr>
                        <w:pStyle w:val="Citationsources"/>
                      </w:pPr>
                    </w:p>
                  </w:txbxContent>
                </v:textbox>
              </v:shape>
            </w:pict>
          </mc:Fallback>
        </mc:AlternateContent>
      </w:r>
      <w:r w:rsidR="00C03CA1" w:rsidRPr="00C03CA1">
        <w:rPr>
          <w:lang w:eastAsia="fr-FR"/>
        </w:rPr>
        <w:fldChar w:fldCharType="begin"/>
      </w:r>
      <w:r w:rsidR="00C03CA1" w:rsidRPr="00C03CA1">
        <w:rPr>
          <w:lang w:eastAsia="fr-FR"/>
        </w:rPr>
        <w:instrText xml:space="preserve"> INCLUDEPICTURE "/var/folders/l9/t_pnjsq137j382jc3kgm7n5w0000gn/T/com.microsoft.Word/WebArchiveCopyPasteTempFiles/729_-DUBOIS_num4000_nr-2304x1398.jpg" \* MERGEFORMATINET </w:instrText>
      </w:r>
      <w:r w:rsidR="00C03CA1" w:rsidRPr="00C03CA1">
        <w:rPr>
          <w:lang w:eastAsia="fr-FR"/>
        </w:rPr>
        <w:fldChar w:fldCharType="separate"/>
      </w:r>
      <w:r w:rsidR="00C03CA1" w:rsidRPr="00C03CA1">
        <w:rPr>
          <w:noProof/>
          <w:lang w:eastAsia="fr-FR"/>
        </w:rPr>
        <w:drawing>
          <wp:inline distT="0" distB="0" distL="0" distR="0" wp14:anchorId="300DD1ED" wp14:editId="1D3B361C">
            <wp:extent cx="8169898" cy="4956593"/>
            <wp:effectExtent l="6350" t="0" r="3175" b="3175"/>
            <wp:docPr id="10" name="Image 10" descr="François Dubois, Le Massacre de la Saint-Barthélemy, vers 1572-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nçois Dubois, Le Massacre de la Saint-Barthélemy, vers 1572-158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8186119" cy="4966434"/>
                    </a:xfrm>
                    <a:prstGeom prst="rect">
                      <a:avLst/>
                    </a:prstGeom>
                    <a:noFill/>
                    <a:ln>
                      <a:noFill/>
                    </a:ln>
                  </pic:spPr>
                </pic:pic>
              </a:graphicData>
            </a:graphic>
          </wp:inline>
        </w:drawing>
      </w:r>
      <w:r w:rsidR="00C03CA1" w:rsidRPr="00C03CA1">
        <w:rPr>
          <w:lang w:eastAsia="fr-FR"/>
        </w:rPr>
        <w:fldChar w:fldCharType="end"/>
      </w:r>
      <w:r w:rsidR="00E23EF2">
        <w:rPr>
          <w:lang w:eastAsia="fr-FR"/>
        </w:rPr>
        <w:t xml:space="preserve"> </w:t>
      </w:r>
    </w:p>
    <w:p w14:paraId="1917671E" w14:textId="77777777" w:rsidR="0000002D" w:rsidRPr="001876DF" w:rsidRDefault="0000002D" w:rsidP="00620E44">
      <w:pPr>
        <w:pStyle w:val="Titre1"/>
      </w:pPr>
      <w:r w:rsidRPr="001876DF">
        <w:lastRenderedPageBreak/>
        <w:t xml:space="preserve">Document </w:t>
      </w:r>
      <w:r>
        <w:t>2</w:t>
      </w:r>
      <w:r w:rsidRPr="001876DF">
        <w:t>.</w:t>
      </w:r>
      <w:r>
        <w:t xml:space="preserve"> </w:t>
      </w:r>
      <w:r w:rsidR="005636FD">
        <w:t>Le récit des faits (24-26 août 1572)</w:t>
      </w:r>
    </w:p>
    <w:p w14:paraId="31DBACA9" w14:textId="77777777" w:rsidR="0000002D" w:rsidRPr="00735570" w:rsidRDefault="006B0FEE" w:rsidP="00620E44">
      <w:r w:rsidRPr="00735570">
        <w:t xml:space="preserve">Le 22 août 1572, entre dix et onze heures du matin, l’amiral de Coligny regagna son logis de la rue de </w:t>
      </w:r>
      <w:proofErr w:type="spellStart"/>
      <w:r w:rsidRPr="00735570">
        <w:t>Béthisy</w:t>
      </w:r>
      <w:proofErr w:type="spellEnd"/>
      <w:r w:rsidRPr="00735570">
        <w:t xml:space="preserve">, après avoir siégé au </w:t>
      </w:r>
      <w:proofErr w:type="spellStart"/>
      <w:r w:rsidRPr="00735570">
        <w:t>Conseil.Alors</w:t>
      </w:r>
      <w:proofErr w:type="spellEnd"/>
      <w:r w:rsidRPr="00735570">
        <w:t xml:space="preserve"> qu’il passait sous la </w:t>
      </w:r>
      <w:proofErr w:type="spellStart"/>
      <w:r w:rsidRPr="00735570">
        <w:t>fen^tre</w:t>
      </w:r>
      <w:proofErr w:type="spellEnd"/>
      <w:r w:rsidRPr="00735570">
        <w:t xml:space="preserve"> grillagée d’une maison de la rue des Fossés Saint-Germain, plusieurs balles d’arquebuse le frappèrent au bras gauche et à la main droite. Une rapide enquête révéla que la maison était habitée par un ancien précepteur du duc de Guise</w:t>
      </w:r>
      <w:r w:rsidR="0055392F" w:rsidRPr="00735570">
        <w:t xml:space="preserve"> </w:t>
      </w:r>
      <w:r w:rsidR="0055392F" w:rsidRPr="00735570">
        <w:rPr>
          <w:rFonts w:cs="Times New Roman"/>
        </w:rPr>
        <w:t>[</w:t>
      </w:r>
      <w:r w:rsidR="0055392F" w:rsidRPr="00735570">
        <w:t>...</w:t>
      </w:r>
      <w:r w:rsidR="0055392F" w:rsidRPr="00735570">
        <w:rPr>
          <w:rFonts w:cs="Times New Roman"/>
        </w:rPr>
        <w:t>]</w:t>
      </w:r>
      <w:r w:rsidR="0055392F" w:rsidRPr="00735570">
        <w:t xml:space="preserve">. Le tireur </w:t>
      </w:r>
      <w:r w:rsidR="0055392F" w:rsidRPr="00735570">
        <w:rPr>
          <w:rFonts w:cs="Times New Roman"/>
        </w:rPr>
        <w:t>[</w:t>
      </w:r>
      <w:r w:rsidR="0055392F" w:rsidRPr="00735570">
        <w:t>était</w:t>
      </w:r>
      <w:r w:rsidR="0055392F" w:rsidRPr="00735570">
        <w:rPr>
          <w:rFonts w:cs="Times New Roman"/>
        </w:rPr>
        <w:t>]</w:t>
      </w:r>
      <w:r w:rsidR="0055392F" w:rsidRPr="00735570">
        <w:t xml:space="preserve"> sans doute un ancien familier des princes lorrains, Charles de Louviers, sieur de </w:t>
      </w:r>
      <w:proofErr w:type="spellStart"/>
      <w:r w:rsidR="0055392F" w:rsidRPr="00735570">
        <w:t>Maurevert</w:t>
      </w:r>
      <w:proofErr w:type="spellEnd"/>
      <w:r w:rsidR="0055392F" w:rsidRPr="00735570">
        <w:t xml:space="preserve">. </w:t>
      </w:r>
      <w:r w:rsidR="0055392F" w:rsidRPr="00735570">
        <w:rPr>
          <w:rFonts w:cs="Times New Roman"/>
        </w:rPr>
        <w:t>[</w:t>
      </w:r>
      <w:r w:rsidR="0055392F" w:rsidRPr="00735570">
        <w:t>...</w:t>
      </w:r>
      <w:r w:rsidR="0055392F" w:rsidRPr="00735570">
        <w:rPr>
          <w:rFonts w:cs="Times New Roman"/>
        </w:rPr>
        <w:t>]</w:t>
      </w:r>
      <w:r w:rsidR="0055392F" w:rsidRPr="00735570">
        <w:t xml:space="preserve"> Dès l’annonce de la nouvelle, le prévôt des marchands commanda aux trois compagnie</w:t>
      </w:r>
      <w:r w:rsidR="00900DFE" w:rsidRPr="00735570">
        <w:t>s</w:t>
      </w:r>
      <w:r w:rsidR="0055392F" w:rsidRPr="00735570">
        <w:t xml:space="preserve"> municipales de prendre position devant l’Hôtel de Ville. Les quarteniers étaient pour leur part chargés de calmer la population, d’empêcher les bourgeois de prendre les armes et de faire ouvrir les boutiques dont les volets étaient déjà rabattus par crainte d’une émeute. Au Louvre, les plumes s’activaient. On écrivait aux gouverneurs provinciaux pour qu’ils veillent à ce que le bruit de l’attentat parisien ne provoque aucune émotion. </w:t>
      </w:r>
    </w:p>
    <w:p w14:paraId="537BA32A" w14:textId="77777777" w:rsidR="0055392F" w:rsidRPr="00735570" w:rsidRDefault="0055392F" w:rsidP="0055392F">
      <w:r w:rsidRPr="00735570">
        <w:rPr>
          <w:rFonts w:cs="Times New Roman"/>
        </w:rPr>
        <w:t>[</w:t>
      </w:r>
      <w:r w:rsidRPr="00735570">
        <w:t>...</w:t>
      </w:r>
      <w:r w:rsidRPr="00735570">
        <w:rPr>
          <w:rFonts w:cs="Times New Roman"/>
        </w:rPr>
        <w:t>]</w:t>
      </w:r>
      <w:r w:rsidRPr="00735570">
        <w:t xml:space="preserve"> La crainte d’une prise d’armes </w:t>
      </w:r>
      <w:r w:rsidRPr="00735570">
        <w:rPr>
          <w:rFonts w:cs="Times New Roman"/>
        </w:rPr>
        <w:t>[</w:t>
      </w:r>
      <w:r w:rsidRPr="00735570">
        <w:t>des protestants</w:t>
      </w:r>
      <w:r w:rsidRPr="00735570">
        <w:rPr>
          <w:rFonts w:cs="Times New Roman"/>
        </w:rPr>
        <w:t>]</w:t>
      </w:r>
      <w:r w:rsidRPr="00735570">
        <w:t xml:space="preserve"> précipita les événements. C’est à l’occasion du Conseil tenu le 23 août qu’on décida de prendre les devants en tuant les chefs protestants. Autour de la reine mère se tenaient sans doute le roi, son frère le duc d’Anjou, le garde des Sceaux René de Birague, le duc de Nevers (Louis de Gonzague), le comte de Retz (Albert de Gondi), le maréchal de Tavannes et peut-être le duc de Guise. </w:t>
      </w:r>
      <w:r w:rsidRPr="00735570">
        <w:rPr>
          <w:rFonts w:cs="Times New Roman"/>
        </w:rPr>
        <w:t>[</w:t>
      </w:r>
      <w:r w:rsidRPr="00735570">
        <w:t>...</w:t>
      </w:r>
      <w:r w:rsidRPr="00735570">
        <w:rPr>
          <w:rFonts w:cs="Times New Roman"/>
        </w:rPr>
        <w:t>]</w:t>
      </w:r>
      <w:r w:rsidRPr="00735570">
        <w:t xml:space="preserve"> Il s’agissait donc bien d’une action politique, guidée par l’intérêt supérieur de l’État. </w:t>
      </w:r>
      <w:r w:rsidRPr="00735570">
        <w:rPr>
          <w:rFonts w:cs="Times New Roman"/>
        </w:rPr>
        <w:t>[...] [</w:t>
      </w:r>
      <w:r w:rsidRPr="00735570">
        <w:t>Charles IX</w:t>
      </w:r>
      <w:r w:rsidRPr="00735570">
        <w:rPr>
          <w:rFonts w:cs="Times New Roman"/>
        </w:rPr>
        <w:t>]</w:t>
      </w:r>
      <w:r w:rsidRPr="00735570">
        <w:t xml:space="preserve"> enjoignit </w:t>
      </w:r>
      <w:r w:rsidRPr="00735570">
        <w:rPr>
          <w:rFonts w:cs="Times New Roman"/>
        </w:rPr>
        <w:t>[</w:t>
      </w:r>
      <w:r w:rsidRPr="00735570">
        <w:t>au prévôt des marchands</w:t>
      </w:r>
      <w:r w:rsidRPr="00735570">
        <w:rPr>
          <w:rFonts w:cs="Times New Roman"/>
        </w:rPr>
        <w:t>]</w:t>
      </w:r>
      <w:r w:rsidRPr="00735570">
        <w:t xml:space="preserve"> de fermer les portes de la ville, d’enchaîner tous les bateaux sur la rive droite et de convoquer la milice. Au son du tocsin, la tuerie devait commencer avant l’aube du 23 août. </w:t>
      </w:r>
    </w:p>
    <w:p w14:paraId="492F5EF2" w14:textId="77777777" w:rsidR="0055392F" w:rsidRPr="00735570" w:rsidRDefault="0055392F" w:rsidP="0055392F">
      <w:pPr>
        <w:rPr>
          <w:rFonts w:cs="Times New Roman"/>
        </w:rPr>
      </w:pPr>
      <w:r w:rsidRPr="00735570">
        <w:rPr>
          <w:rFonts w:cs="Times New Roman"/>
        </w:rPr>
        <w:t xml:space="preserve">L’assassinat de Coligny a été confié au demi-frère du roi, Henri d’Angoulême, au duc de Guise et à l’oncle de celui-ci, le duc d’Aumale. Ces trois seigneurs se rendirent chez l’amiral, rue de </w:t>
      </w:r>
      <w:proofErr w:type="spellStart"/>
      <w:r w:rsidRPr="00735570">
        <w:rPr>
          <w:rFonts w:cs="Times New Roman"/>
        </w:rPr>
        <w:t>Béthisy</w:t>
      </w:r>
      <w:proofErr w:type="spellEnd"/>
      <w:r w:rsidRPr="00735570">
        <w:rPr>
          <w:rFonts w:cs="Times New Roman"/>
        </w:rPr>
        <w:t xml:space="preserve">, en compagnie d’hommes armés, parmi lesquels figuraient plusieurs membres de la suite du duc d’Anjou. C’est un capitaine originaire de Bohême, Besme, qui se chargea d’assassiner l’amiral. Jeté sur le pavé, émasculé et décapité, le corps fut ensuite porté jusqu’à la Seine, avant d’être traîné dans les rues par des enfants, puis pendu par les cuisses au gibet de Montfaucon, lieu des exécutions ordinaires. </w:t>
      </w:r>
    </w:p>
    <w:p w14:paraId="395A37D7" w14:textId="77777777" w:rsidR="0055392F" w:rsidRPr="00735570" w:rsidRDefault="0055392F" w:rsidP="0055392F">
      <w:pPr>
        <w:rPr>
          <w:rFonts w:cs="Times New Roman"/>
        </w:rPr>
      </w:pPr>
      <w:r w:rsidRPr="00735570">
        <w:rPr>
          <w:rFonts w:cs="Times New Roman"/>
        </w:rPr>
        <w:t xml:space="preserve">La première phase meurtrière s’est déroulée vers 4 heures du matin. Dans les heures qui suivirent, le duc d’Anjou parcourut la ville avec les gardes qu’il avait pu rassembler pour veiller au déroulement des exécutions. [...] La cour du Louvre était un charnier. </w:t>
      </w:r>
      <w:r w:rsidR="00900DFE" w:rsidRPr="00735570">
        <w:rPr>
          <w:rFonts w:cs="Times New Roman"/>
        </w:rPr>
        <w:t xml:space="preserve">[...] Quelques gentilshommes parvinrent à se cacher ou à se placer sous la protection de personnages importants. [...] </w:t>
      </w:r>
    </w:p>
    <w:p w14:paraId="551D0959" w14:textId="77777777" w:rsidR="00900DFE" w:rsidRPr="00735570" w:rsidRDefault="00900DFE" w:rsidP="0055392F">
      <w:pPr>
        <w:rPr>
          <w:rFonts w:cs="Times New Roman"/>
        </w:rPr>
      </w:pPr>
      <w:r w:rsidRPr="00735570">
        <w:rPr>
          <w:rFonts w:cs="Times New Roman"/>
        </w:rPr>
        <w:t xml:space="preserve">Après que les capitaines protestants eurent été tués par les gardes et les gens de la cour, les miliciens prirent les armes à leur tour. Afin de se reconnaître et d’affirmer la justice de leur combat, les massacreurs accrochaient des croix blanches sur leurs vêtements et sur leurs chapeaux. [...] Vers 11 heures du matin, le prévôt des marchands, Le Charron, fit prévenir le roi que des maisons avaient été saccagées et que plusieurs personnes, bel euphémisme, avaient été tuées dans les rues. [...] À la fin de la matinée, le prévôt des marchands reçut un ordre du roi porté par le duc de Nevers, lui enjoignant de monter lui-même à cheval pour faire cesser les « meurtres, pilleries, saccagements et sédition ». Le Charron s’y employa tant bien que mal avec les trois compagnies de la ville. [...] Les rues semblaient des ruisseaux de sang, la Seine était rouge, les corps s’échouaient sur les berges. On retira des flots au moins mille huit cents cadavres. </w:t>
      </w:r>
    </w:p>
    <w:p w14:paraId="55FC77CB" w14:textId="77777777" w:rsidR="00900DFE" w:rsidRPr="00735570" w:rsidRDefault="00900DFE" w:rsidP="00145CB1">
      <w:pPr>
        <w:rPr>
          <w:rFonts w:cs="Times New Roman"/>
        </w:rPr>
      </w:pPr>
      <w:r w:rsidRPr="00735570">
        <w:rPr>
          <w:rFonts w:cs="Times New Roman"/>
        </w:rPr>
        <w:t xml:space="preserve">Le 25 août 1572, alors qu’il était toujours enfermé dans le château du Louvre, Charles IX commanda au prévôt des marchands de faire cesser les assassinats et de protéger les survivants. [...] Le lendemain, le roi finit par se rendre au Parlement, après avoir entendu la messe à la Sainte-Chapelle, pour endosser la responsabilité de l’exécution des chefs huguenots. Devant les magistrats, le monarque devait soutenir qu’il avait été contraint de prévenir un complot contre sa personne et sa famille, fomenté par Coligny et les siens. Les coupables avaient été justement châtiés, mais il assurait ne pas vouloir s’en prendre aux autres protestants qui restaient sous sa protection. Les mesures se succédaient pour faire cesser les exactions. [...] Les massacres semblent n’avoir pris fin que le samedi 30. On peut estimer à </w:t>
      </w:r>
      <w:r w:rsidR="00145CB1" w:rsidRPr="00735570">
        <w:rPr>
          <w:rFonts w:cs="Times New Roman"/>
        </w:rPr>
        <w:t>3 000 le nombre de victimes parisiennes. [...]</w:t>
      </w:r>
    </w:p>
    <w:p w14:paraId="518C8621" w14:textId="77777777" w:rsidR="00145CB1" w:rsidRPr="00735570" w:rsidRDefault="00145CB1" w:rsidP="00145CB1">
      <w:pPr>
        <w:pStyle w:val="Citationsources"/>
        <w:rPr>
          <w:szCs w:val="22"/>
        </w:rPr>
      </w:pPr>
      <w:r w:rsidRPr="00735570">
        <w:rPr>
          <w:szCs w:val="22"/>
        </w:rPr>
        <w:t xml:space="preserve">Nicolas </w:t>
      </w:r>
      <w:r w:rsidRPr="00735570">
        <w:rPr>
          <w:smallCaps/>
          <w:szCs w:val="22"/>
        </w:rPr>
        <w:t>Le Roux</w:t>
      </w:r>
      <w:r w:rsidRPr="00735570">
        <w:rPr>
          <w:szCs w:val="22"/>
        </w:rPr>
        <w:t xml:space="preserve">, </w:t>
      </w:r>
      <w:r w:rsidRPr="00735570">
        <w:rPr>
          <w:i/>
          <w:szCs w:val="22"/>
        </w:rPr>
        <w:t>Guerres et paix de Religion, 1559-1598</w:t>
      </w:r>
      <w:r w:rsidRPr="00735570">
        <w:rPr>
          <w:szCs w:val="22"/>
        </w:rPr>
        <w:t xml:space="preserve">, Paris, Belin, 2014, p. 86-91. </w:t>
      </w:r>
    </w:p>
    <w:p w14:paraId="17028299" w14:textId="77777777" w:rsidR="0000002D" w:rsidRDefault="0000002D" w:rsidP="00620E44"/>
    <w:p w14:paraId="5658DC8E" w14:textId="77777777" w:rsidR="0000002D" w:rsidRDefault="0000002D" w:rsidP="00620E44">
      <w:pPr>
        <w:pStyle w:val="Titre1"/>
      </w:pPr>
      <w:r>
        <w:lastRenderedPageBreak/>
        <w:sym w:font="Wingdings" w:char="F043"/>
      </w:r>
      <w:r>
        <w:t xml:space="preserve"> Préparer intelligemment la séance de TD </w:t>
      </w:r>
    </w:p>
    <w:tbl>
      <w:tblPr>
        <w:tblStyle w:val="Grilledutableau"/>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gridCol w:w="1417"/>
      </w:tblGrid>
      <w:tr w:rsidR="007A1C0B" w14:paraId="74607EF2" w14:textId="77777777" w:rsidTr="007A1C0B">
        <w:tc>
          <w:tcPr>
            <w:tcW w:w="8364" w:type="dxa"/>
          </w:tcPr>
          <w:p w14:paraId="2A121D89" w14:textId="77777777" w:rsidR="0000002D" w:rsidRPr="007A1C0B" w:rsidRDefault="0000002D" w:rsidP="00E23EF2">
            <w:pPr>
              <w:pStyle w:val="Sansinterligne"/>
              <w:spacing w:line="276" w:lineRule="auto"/>
              <w:ind w:left="35" w:right="169"/>
              <w:jc w:val="both"/>
              <w:rPr>
                <w:sz w:val="22"/>
              </w:rPr>
            </w:pPr>
            <w:r w:rsidRPr="007A1C0B">
              <w:rPr>
                <w:sz w:val="22"/>
              </w:rPr>
              <w:t xml:space="preserve">Le site </w:t>
            </w:r>
            <w:r w:rsidRPr="007A1C0B">
              <w:rPr>
                <w:i/>
                <w:sz w:val="22"/>
              </w:rPr>
              <w:t>L’Histoire par l’image</w:t>
            </w:r>
            <w:r w:rsidRPr="007A1C0B">
              <w:rPr>
                <w:sz w:val="22"/>
              </w:rPr>
              <w:t xml:space="preserve"> propose un commentaire récent (sept. 2020) de ce tableau</w:t>
            </w:r>
            <w:r w:rsidR="00A75549">
              <w:rPr>
                <w:sz w:val="22"/>
              </w:rPr>
              <w:t xml:space="preserve">, </w:t>
            </w:r>
            <w:r w:rsidRPr="007A1C0B">
              <w:rPr>
                <w:sz w:val="22"/>
              </w:rPr>
              <w:t xml:space="preserve">par Nicolas </w:t>
            </w:r>
            <w:r w:rsidRPr="007A1C0B">
              <w:rPr>
                <w:smallCaps/>
                <w:sz w:val="22"/>
              </w:rPr>
              <w:t xml:space="preserve">Le Roux, </w:t>
            </w:r>
            <w:r w:rsidRPr="007A1C0B">
              <w:rPr>
                <w:sz w:val="22"/>
              </w:rPr>
              <w:t xml:space="preserve">professeur d’histoire moderne en Sorbonne (Paris). Ce texte court, écrit par l’un des historiens de référence sur les guerres de Religion, peut vous aider à préparer le TD.   </w:t>
            </w:r>
          </w:p>
        </w:tc>
        <w:tc>
          <w:tcPr>
            <w:tcW w:w="1417" w:type="dxa"/>
            <w:vMerge w:val="restart"/>
            <w:vAlign w:val="center"/>
          </w:tcPr>
          <w:p w14:paraId="1403E478" w14:textId="77777777" w:rsidR="0000002D" w:rsidRPr="0000002D" w:rsidRDefault="0000002D" w:rsidP="00E23EF2">
            <w:pPr>
              <w:ind w:left="-116" w:firstLine="0"/>
            </w:pPr>
            <w:r>
              <w:rPr>
                <w:noProof/>
              </w:rPr>
              <w:drawing>
                <wp:inline distT="0" distB="0" distL="0" distR="0" wp14:anchorId="03978ED1" wp14:editId="684E95B4">
                  <wp:extent cx="712800" cy="701382"/>
                  <wp:effectExtent l="0" t="0" r="0" b="0"/>
                  <wp:docPr id="3" name="Image 3">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a:hlinkClick r:id="rId44"/>
                          </pic:cNvPr>
                          <pic:cNvPicPr/>
                        </pic:nvPicPr>
                        <pic:blipFill rotWithShape="1">
                          <a:blip r:embed="rId45" cstate="print">
                            <a:extLst>
                              <a:ext uri="{28A0092B-C50C-407E-A947-70E740481C1C}">
                                <a14:useLocalDpi xmlns:a14="http://schemas.microsoft.com/office/drawing/2010/main" val="0"/>
                              </a:ext>
                            </a:extLst>
                          </a:blip>
                          <a:srcRect l="3374" t="3875" r="3378" b="4371"/>
                          <a:stretch/>
                        </pic:blipFill>
                        <pic:spPr bwMode="auto">
                          <a:xfrm>
                            <a:off x="0" y="0"/>
                            <a:ext cx="728742" cy="717069"/>
                          </a:xfrm>
                          <a:prstGeom prst="rect">
                            <a:avLst/>
                          </a:prstGeom>
                          <a:ln>
                            <a:noFill/>
                          </a:ln>
                          <a:extLst>
                            <a:ext uri="{53640926-AAD7-44D8-BBD7-CCE9431645EC}">
                              <a14:shadowObscured xmlns:a14="http://schemas.microsoft.com/office/drawing/2010/main"/>
                            </a:ext>
                          </a:extLst>
                        </pic:spPr>
                      </pic:pic>
                    </a:graphicData>
                  </a:graphic>
                </wp:inline>
              </w:drawing>
            </w:r>
          </w:p>
        </w:tc>
      </w:tr>
      <w:tr w:rsidR="007A1C0B" w14:paraId="2CE97FAC" w14:textId="77777777" w:rsidTr="007A1C0B">
        <w:trPr>
          <w:trHeight w:val="178"/>
        </w:trPr>
        <w:tc>
          <w:tcPr>
            <w:tcW w:w="8364" w:type="dxa"/>
          </w:tcPr>
          <w:p w14:paraId="34F30253" w14:textId="77777777" w:rsidR="0000002D" w:rsidRPr="00BE0D7D" w:rsidRDefault="0000002D" w:rsidP="007A1C0B">
            <w:pPr>
              <w:spacing w:before="80"/>
              <w:jc w:val="right"/>
            </w:pPr>
            <w:r w:rsidRPr="007A1C0B">
              <w:rPr>
                <w:i/>
              </w:rPr>
              <w:t xml:space="preserve">Le commentaire de Nicolas </w:t>
            </w:r>
            <w:r w:rsidRPr="00735570">
              <w:rPr>
                <w:i/>
                <w:smallCaps/>
              </w:rPr>
              <w:t>Le Roux</w:t>
            </w:r>
            <w:r w:rsidRPr="007A1C0B">
              <w:rPr>
                <w:i/>
              </w:rPr>
              <w:t xml:space="preserve"> se trouve ici</w:t>
            </w:r>
            <w:r>
              <w:t xml:space="preserve"> </w:t>
            </w:r>
            <w:r>
              <w:sym w:font="Wingdings" w:char="F0E0"/>
            </w:r>
          </w:p>
        </w:tc>
        <w:tc>
          <w:tcPr>
            <w:tcW w:w="1417" w:type="dxa"/>
            <w:vMerge/>
          </w:tcPr>
          <w:p w14:paraId="69AD0018" w14:textId="77777777" w:rsidR="0000002D" w:rsidRDefault="0000002D" w:rsidP="00620E44"/>
        </w:tc>
      </w:tr>
    </w:tbl>
    <w:p w14:paraId="14D3B2FE" w14:textId="77777777" w:rsidR="0000002D" w:rsidRPr="00C74236" w:rsidRDefault="00C74236" w:rsidP="00ED597C">
      <w:pPr>
        <w:pStyle w:val="Titre1"/>
        <w:spacing w:before="120" w:after="240"/>
      </w:pPr>
      <w:r w:rsidRPr="00C74236">
        <w:sym w:font="Wingdings" w:char="F026"/>
      </w:r>
      <w:r w:rsidRPr="00C74236">
        <w:t xml:space="preserve"> </w:t>
      </w:r>
      <w:r w:rsidR="0000002D" w:rsidRPr="00C74236">
        <w:t>Bibliographie sélective</w:t>
      </w:r>
    </w:p>
    <w:p w14:paraId="18867505" w14:textId="77777777" w:rsidR="00714C25" w:rsidRPr="00145CB1" w:rsidRDefault="00714C25" w:rsidP="007C0158">
      <w:pPr>
        <w:pStyle w:val="Sansinterligne"/>
        <w:spacing w:before="100" w:after="100" w:line="276" w:lineRule="auto"/>
        <w:rPr>
          <w:sz w:val="21"/>
          <w:szCs w:val="21"/>
        </w:rPr>
      </w:pPr>
      <w:proofErr w:type="spellStart"/>
      <w:r w:rsidRPr="00B23032">
        <w:rPr>
          <w:smallCaps/>
          <w:sz w:val="21"/>
          <w:szCs w:val="21"/>
        </w:rPr>
        <w:t>Jouanna</w:t>
      </w:r>
      <w:proofErr w:type="spellEnd"/>
      <w:r>
        <w:rPr>
          <w:sz w:val="21"/>
          <w:szCs w:val="21"/>
        </w:rPr>
        <w:t>, Arlette</w:t>
      </w:r>
      <w:r w:rsidR="00145CB1">
        <w:rPr>
          <w:sz w:val="21"/>
          <w:szCs w:val="21"/>
        </w:rPr>
        <w:t xml:space="preserve"> (dir.), </w:t>
      </w:r>
      <w:r w:rsidR="00145CB1">
        <w:rPr>
          <w:i/>
          <w:sz w:val="21"/>
          <w:szCs w:val="21"/>
        </w:rPr>
        <w:t>Histoire et dictionnaire des guerres de Religion</w:t>
      </w:r>
      <w:r w:rsidR="00145CB1">
        <w:rPr>
          <w:sz w:val="21"/>
          <w:szCs w:val="21"/>
        </w:rPr>
        <w:t xml:space="preserve">, Paris, Robert Laffont, 1998.  </w:t>
      </w:r>
    </w:p>
    <w:p w14:paraId="794403E0" w14:textId="77777777" w:rsidR="00145CB1" w:rsidRDefault="00145CB1" w:rsidP="007C0158">
      <w:pPr>
        <w:pStyle w:val="Sansinterligne"/>
        <w:spacing w:before="100" w:after="100" w:line="276" w:lineRule="auto"/>
        <w:rPr>
          <w:sz w:val="21"/>
          <w:szCs w:val="21"/>
        </w:rPr>
      </w:pPr>
      <w:r w:rsidRPr="00145CB1">
        <w:rPr>
          <w:smallCaps/>
          <w:sz w:val="21"/>
          <w:szCs w:val="21"/>
        </w:rPr>
        <w:t>Crouzet</w:t>
      </w:r>
      <w:r>
        <w:rPr>
          <w:sz w:val="21"/>
          <w:szCs w:val="21"/>
        </w:rPr>
        <w:t xml:space="preserve">, Denis, </w:t>
      </w:r>
      <w:r>
        <w:rPr>
          <w:i/>
          <w:sz w:val="21"/>
          <w:szCs w:val="21"/>
        </w:rPr>
        <w:t>Les guerriers de Dieu. La violence au temps des troubles de religion</w:t>
      </w:r>
      <w:r>
        <w:rPr>
          <w:sz w:val="21"/>
          <w:szCs w:val="21"/>
        </w:rPr>
        <w:t xml:space="preserve">, Seyssel, Champ Vallon, 1990. </w:t>
      </w:r>
    </w:p>
    <w:p w14:paraId="41559805" w14:textId="77777777" w:rsidR="00145CB1" w:rsidRPr="00145CB1" w:rsidRDefault="00145CB1" w:rsidP="007C0158">
      <w:pPr>
        <w:pStyle w:val="Sansinterligne"/>
        <w:spacing w:before="100" w:after="100" w:line="276" w:lineRule="auto"/>
        <w:rPr>
          <w:sz w:val="21"/>
          <w:szCs w:val="21"/>
        </w:rPr>
      </w:pPr>
      <w:r w:rsidRPr="00145CB1">
        <w:rPr>
          <w:smallCaps/>
          <w:sz w:val="21"/>
          <w:szCs w:val="21"/>
        </w:rPr>
        <w:t>Crouzet</w:t>
      </w:r>
      <w:r>
        <w:rPr>
          <w:sz w:val="21"/>
          <w:szCs w:val="21"/>
        </w:rPr>
        <w:t xml:space="preserve">, Denis, </w:t>
      </w:r>
      <w:r>
        <w:rPr>
          <w:i/>
          <w:sz w:val="21"/>
          <w:szCs w:val="21"/>
        </w:rPr>
        <w:t>La Nuit de la Saint-Barthélemy. Un rêve perdu de la Renaissance</w:t>
      </w:r>
      <w:r>
        <w:rPr>
          <w:sz w:val="21"/>
          <w:szCs w:val="21"/>
        </w:rPr>
        <w:t xml:space="preserve">, Paris, Fayard, 1994. </w:t>
      </w:r>
    </w:p>
    <w:p w14:paraId="0BB5C42C" w14:textId="77777777" w:rsidR="0000002D" w:rsidRPr="00C651D6" w:rsidRDefault="00714C25" w:rsidP="007C0158">
      <w:pPr>
        <w:pStyle w:val="Sansinterligne"/>
        <w:spacing w:before="100" w:after="100" w:line="276" w:lineRule="auto"/>
        <w:rPr>
          <w:sz w:val="21"/>
          <w:szCs w:val="21"/>
        </w:rPr>
      </w:pPr>
      <w:r w:rsidRPr="00B23032">
        <w:rPr>
          <w:smallCaps/>
          <w:sz w:val="21"/>
          <w:szCs w:val="21"/>
        </w:rPr>
        <w:t>Le Roux</w:t>
      </w:r>
      <w:r>
        <w:rPr>
          <w:sz w:val="21"/>
          <w:szCs w:val="21"/>
        </w:rPr>
        <w:t xml:space="preserve">, Nicolas, </w:t>
      </w:r>
      <w:r w:rsidR="00B23032">
        <w:rPr>
          <w:i/>
          <w:sz w:val="21"/>
          <w:szCs w:val="21"/>
        </w:rPr>
        <w:t>Les guerres de Religion (1559-1629)</w:t>
      </w:r>
      <w:r w:rsidR="00B23032">
        <w:rPr>
          <w:sz w:val="21"/>
          <w:szCs w:val="21"/>
        </w:rPr>
        <w:t xml:space="preserve">, Paris, Belin, 2009. </w:t>
      </w:r>
    </w:p>
    <w:p w14:paraId="573382FB" w14:textId="77777777" w:rsidR="007E4C1F" w:rsidRPr="001876DF" w:rsidRDefault="007E4C1F" w:rsidP="007E4C1F">
      <w:pPr>
        <w:pStyle w:val="Titre1"/>
        <w:spacing w:before="240" w:after="120"/>
      </w:pPr>
      <w:r>
        <w:sym w:font="Wingdings" w:char="F03A"/>
      </w:r>
      <w:r>
        <w:t xml:space="preserve"> Outils numériques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7E4C1F" w14:paraId="7707A26F" w14:textId="77777777" w:rsidTr="002E76FE">
        <w:trPr>
          <w:trHeight w:val="1305"/>
        </w:trPr>
        <w:tc>
          <w:tcPr>
            <w:tcW w:w="9062" w:type="dxa"/>
          </w:tcPr>
          <w:p w14:paraId="6E34BD75" w14:textId="77777777" w:rsidR="007E4C1F" w:rsidRPr="00FB4846" w:rsidRDefault="007E4C1F" w:rsidP="002E76FE">
            <w:pPr>
              <w:pStyle w:val="Sansinterligne"/>
              <w:spacing w:after="80" w:line="276" w:lineRule="auto"/>
              <w:ind w:left="177"/>
              <w:rPr>
                <w:i/>
                <w:sz w:val="22"/>
                <w:u w:val="single"/>
              </w:rPr>
            </w:pPr>
            <w:r w:rsidRPr="00FB4846">
              <w:rPr>
                <w:sz w:val="22"/>
                <w:u w:val="single"/>
              </w:rPr>
              <w:t xml:space="preserve">1/ Recouper une image pour mieux l’expliquer  </w:t>
            </w:r>
            <w:r w:rsidRPr="00FB4846">
              <w:rPr>
                <w:i/>
                <w:sz w:val="22"/>
                <w:u w:val="single"/>
              </w:rPr>
              <w:t xml:space="preserve"> </w:t>
            </w:r>
          </w:p>
          <w:p w14:paraId="78552F61" w14:textId="77777777" w:rsidR="007E4C1F" w:rsidRPr="009D6DD9" w:rsidRDefault="007E4C1F" w:rsidP="002E76FE">
            <w:pPr>
              <w:pStyle w:val="Sansinterligne"/>
              <w:spacing w:line="276" w:lineRule="auto"/>
              <w:ind w:left="35"/>
              <w:jc w:val="both"/>
              <w:rPr>
                <w:highlight w:val="yellow"/>
              </w:rPr>
            </w:pPr>
            <w:r w:rsidRPr="00FB4846">
              <w:rPr>
                <w:sz w:val="21"/>
              </w:rPr>
              <w:t xml:space="preserve">Les logiciels de présentation, et plus généralement de bureautique, permettent de « rogner » une image. Avec un fichier de haute qualité, on peut faire des agrandissements et mieux montrer certaines parties. Ici, avec une iconographie qui fonctionne par « épisodes », la chose fonctionne bien. Entraînez-vous à recouper l’estampe du massacre de Sens pour ne garder que les zones concernées par ce que vous commentez à l’instant </w:t>
            </w:r>
            <w:r w:rsidRPr="00FB4846">
              <w:rPr>
                <w:i/>
                <w:sz w:val="21"/>
              </w:rPr>
              <w:t>t</w:t>
            </w:r>
            <w:r w:rsidRPr="00FB4846">
              <w:rPr>
                <w:sz w:val="21"/>
              </w:rPr>
              <w:t xml:space="preserve">. </w:t>
            </w:r>
          </w:p>
        </w:tc>
      </w:tr>
      <w:tr w:rsidR="007E4C1F" w14:paraId="4ED0EBDD" w14:textId="77777777" w:rsidTr="002E76FE">
        <w:trPr>
          <w:trHeight w:val="1101"/>
        </w:trPr>
        <w:tc>
          <w:tcPr>
            <w:tcW w:w="9062" w:type="dxa"/>
          </w:tcPr>
          <w:p w14:paraId="7AEF6273" w14:textId="77777777" w:rsidR="007E4C1F" w:rsidRPr="00FB4846" w:rsidRDefault="007E4C1F" w:rsidP="002E76FE">
            <w:pPr>
              <w:pStyle w:val="Sansinterligne"/>
              <w:spacing w:before="80" w:after="80" w:line="276" w:lineRule="auto"/>
              <w:ind w:left="177"/>
              <w:rPr>
                <w:i/>
                <w:sz w:val="22"/>
                <w:u w:val="single"/>
              </w:rPr>
            </w:pPr>
            <w:r w:rsidRPr="00FB4846">
              <w:rPr>
                <w:sz w:val="22"/>
                <w:u w:val="single"/>
              </w:rPr>
              <w:t xml:space="preserve">2/ Télécharger un fichier en haute définition depuis le site Gallica.fr </w:t>
            </w:r>
          </w:p>
          <w:p w14:paraId="4CA0C5CB" w14:textId="77777777" w:rsidR="007E4C1F" w:rsidRDefault="007E4C1F" w:rsidP="002E76FE">
            <w:pPr>
              <w:pStyle w:val="Sansinterligne"/>
              <w:spacing w:after="120" w:line="276" w:lineRule="auto"/>
              <w:ind w:left="35"/>
              <w:jc w:val="both"/>
            </w:pPr>
            <w:r w:rsidRPr="00FB4846">
              <w:rPr>
                <w:sz w:val="21"/>
              </w:rPr>
              <w:t xml:space="preserve">Le site des numérisations de la BnF, Gallica, est une mine d’or de sources primaires, notamment en ce qui concerne les images. Il n’y est possible toutefois de les télécharger en HD que par petits morceaux. Pour récupérer un fichier entier et sans perdre en qualité, utilisez l’extension </w:t>
            </w:r>
            <w:proofErr w:type="spellStart"/>
            <w:r w:rsidRPr="00FB4846">
              <w:rPr>
                <w:sz w:val="21"/>
              </w:rPr>
              <w:t>IIIF.Download</w:t>
            </w:r>
            <w:proofErr w:type="spellEnd"/>
            <w:r w:rsidRPr="00FB4846">
              <w:rPr>
                <w:sz w:val="21"/>
              </w:rPr>
              <w:t xml:space="preserve"> du navigateur Firefox.  </w:t>
            </w:r>
          </w:p>
        </w:tc>
      </w:tr>
    </w:tbl>
    <w:p w14:paraId="3FF56570" w14:textId="77777777" w:rsidR="0000002D" w:rsidRPr="00C74236" w:rsidRDefault="00C74236" w:rsidP="00E23EF2">
      <w:pPr>
        <w:pStyle w:val="Titre1"/>
        <w:spacing w:before="240"/>
      </w:pPr>
      <w:r w:rsidRPr="00C74236">
        <w:sym w:font="Wingdings" w:char="F025"/>
      </w:r>
      <w:r w:rsidR="0000002D" w:rsidRPr="00C74236">
        <w:t xml:space="preserve"> L’actualité de la recherche </w:t>
      </w:r>
    </w:p>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gridCol w:w="1324"/>
        <w:gridCol w:w="12"/>
      </w:tblGrid>
      <w:tr w:rsidR="007D62EF" w14:paraId="1631961E" w14:textId="77777777" w:rsidTr="007D62EF">
        <w:tc>
          <w:tcPr>
            <w:tcW w:w="9639" w:type="dxa"/>
            <w:gridSpan w:val="3"/>
          </w:tcPr>
          <w:p w14:paraId="44413F98" w14:textId="77777777" w:rsidR="007D62EF" w:rsidRPr="007D62EF" w:rsidRDefault="007D62EF" w:rsidP="007D62EF">
            <w:pPr>
              <w:pStyle w:val="Biblio"/>
              <w:spacing w:before="0"/>
              <w:rPr>
                <w:smallCaps w:val="0"/>
              </w:rPr>
            </w:pPr>
            <w:r w:rsidRPr="007A1C0B">
              <w:rPr>
                <w:smallCaps w:val="0"/>
              </w:rPr>
              <w:t xml:space="preserve">Jérémie </w:t>
            </w:r>
            <w:r w:rsidRPr="007A1C0B">
              <w:t>Foa</w:t>
            </w:r>
            <w:r w:rsidRPr="007A1C0B">
              <w:rPr>
                <w:smallCaps w:val="0"/>
              </w:rPr>
              <w:t xml:space="preserve">, </w:t>
            </w:r>
            <w:r w:rsidRPr="007A1C0B">
              <w:rPr>
                <w:i/>
                <w:smallCaps w:val="0"/>
              </w:rPr>
              <w:t>Tous ceux qui tombent. Visages du massacre de la Saint-Barthélemy</w:t>
            </w:r>
            <w:r w:rsidRPr="007A1C0B">
              <w:rPr>
                <w:smallCaps w:val="0"/>
              </w:rPr>
              <w:t xml:space="preserve">, Paris, La Découverte, 2021. </w:t>
            </w:r>
            <w:r>
              <w:t xml:space="preserve">  </w:t>
            </w:r>
          </w:p>
        </w:tc>
      </w:tr>
      <w:tr w:rsidR="00CE16B7" w14:paraId="59ADE7F2" w14:textId="77777777" w:rsidTr="007D62EF">
        <w:tc>
          <w:tcPr>
            <w:tcW w:w="8359" w:type="dxa"/>
          </w:tcPr>
          <w:p w14:paraId="0758C5F5" w14:textId="77777777" w:rsidR="0000002D" w:rsidRPr="00C151F5" w:rsidRDefault="004A1175" w:rsidP="00CE16B7">
            <w:pPr>
              <w:ind w:left="177" w:firstLine="0"/>
              <w:rPr>
                <w:i/>
                <w:sz w:val="21"/>
              </w:rPr>
            </w:pPr>
            <w:r>
              <w:rPr>
                <w:i/>
                <w:sz w:val="21"/>
              </w:rPr>
              <w:t>Dans ce livre, Jérémie Foa</w:t>
            </w:r>
            <w:r w:rsidR="00C85FC2">
              <w:rPr>
                <w:i/>
                <w:sz w:val="21"/>
              </w:rPr>
              <w:t>, maître de conférences en histoire moderne à l’Université d’Aix-Marseille,</w:t>
            </w:r>
            <w:r>
              <w:rPr>
                <w:i/>
                <w:sz w:val="21"/>
              </w:rPr>
              <w:t xml:space="preserve"> cherche à comprendre ce qui a pu pousser les Parisiens à prendre les armes et tuer celles et ceux qui étaient bien souvent leurs voisins. Au contraire d’autres </w:t>
            </w:r>
            <w:proofErr w:type="spellStart"/>
            <w:r>
              <w:rPr>
                <w:i/>
                <w:sz w:val="21"/>
              </w:rPr>
              <w:t>historien-nes</w:t>
            </w:r>
            <w:proofErr w:type="spellEnd"/>
            <w:r>
              <w:rPr>
                <w:i/>
                <w:sz w:val="21"/>
              </w:rPr>
              <w:t xml:space="preserve"> qui l’ont précédé sur le sujet, il chercher la réponse 1/ hors des considérations politiques, 2/ en allant dépouiller les fonds des notaires de Paris. Les actes notariés – qui sont réalisés à de multiples occasions, comme des ventes, des successions et autres – lui permettent d’essayer non plus une histoire du massacre, mais des massacr</w:t>
            </w:r>
            <w:r w:rsidR="007D62EF">
              <w:rPr>
                <w:i/>
                <w:sz w:val="21"/>
              </w:rPr>
              <w:t xml:space="preserve">eurs et de leurs victimes. Cette histoire « par le bas » est ainsi, aussi, une histoire « sociale » de la Saint-Barthélemy, qui sort du présupposé que toutes les motivations seraient ou religieuses, ou sociales. </w:t>
            </w:r>
          </w:p>
          <w:p w14:paraId="73AEFF4C" w14:textId="77777777" w:rsidR="00C74236" w:rsidRPr="00BE0D7D" w:rsidRDefault="00C74236" w:rsidP="007D62EF">
            <w:pPr>
              <w:spacing w:after="40"/>
              <w:jc w:val="right"/>
            </w:pPr>
            <w:r w:rsidRPr="007A1C0B">
              <w:rPr>
                <w:i/>
              </w:rPr>
              <w:t>C’est l’auteur qui en parle le mieux, et en vidéo !</w:t>
            </w:r>
            <w:r>
              <w:t xml:space="preserve"> </w:t>
            </w:r>
            <w:r>
              <w:sym w:font="Wingdings" w:char="F0E0"/>
            </w:r>
          </w:p>
        </w:tc>
        <w:tc>
          <w:tcPr>
            <w:tcW w:w="1280" w:type="dxa"/>
            <w:gridSpan w:val="2"/>
            <w:vAlign w:val="bottom"/>
          </w:tcPr>
          <w:p w14:paraId="1B8508C3" w14:textId="77777777" w:rsidR="0000002D" w:rsidRDefault="007D62EF" w:rsidP="007D62EF">
            <w:pPr>
              <w:ind w:firstLine="0"/>
              <w:jc w:val="center"/>
            </w:pPr>
            <w:r>
              <w:rPr>
                <w:noProof/>
              </w:rPr>
              <w:drawing>
                <wp:inline distT="0" distB="0" distL="0" distR="0" wp14:anchorId="29D219EC" wp14:editId="7C392C0D">
                  <wp:extent cx="708375" cy="705600"/>
                  <wp:effectExtent l="0" t="0" r="3175" b="5715"/>
                  <wp:docPr id="4" name="Image 4">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a:hlinkClick r:id="rId46"/>
                          </pic:cNvPr>
                          <pic:cNvPicPr/>
                        </pic:nvPicPr>
                        <pic:blipFill rotWithShape="1">
                          <a:blip r:embed="rId47" cstate="print">
                            <a:extLst>
                              <a:ext uri="{28A0092B-C50C-407E-A947-70E740481C1C}">
                                <a14:useLocalDpi xmlns:a14="http://schemas.microsoft.com/office/drawing/2010/main" val="0"/>
                              </a:ext>
                            </a:extLst>
                          </a:blip>
                          <a:srcRect l="4267" t="4146" r="4023" b="4504"/>
                          <a:stretch/>
                        </pic:blipFill>
                        <pic:spPr bwMode="auto">
                          <a:xfrm>
                            <a:off x="0" y="0"/>
                            <a:ext cx="708375" cy="705600"/>
                          </a:xfrm>
                          <a:prstGeom prst="rect">
                            <a:avLst/>
                          </a:prstGeom>
                          <a:ln>
                            <a:noFill/>
                          </a:ln>
                          <a:extLst>
                            <a:ext uri="{53640926-AAD7-44D8-BBD7-CCE9431645EC}">
                              <a14:shadowObscured xmlns:a14="http://schemas.microsoft.com/office/drawing/2010/main"/>
                            </a:ext>
                          </a:extLst>
                        </pic:spPr>
                      </pic:pic>
                    </a:graphicData>
                  </a:graphic>
                </wp:inline>
              </w:drawing>
            </w:r>
          </w:p>
        </w:tc>
      </w:tr>
      <w:tr w:rsidR="00CE16B7" w:rsidRPr="00647699" w14:paraId="6E8F6CD3" w14:textId="77777777" w:rsidTr="007D62EF">
        <w:trPr>
          <w:gridAfter w:val="1"/>
          <w:wAfter w:w="7" w:type="dxa"/>
        </w:trPr>
        <w:tc>
          <w:tcPr>
            <w:tcW w:w="9632" w:type="dxa"/>
            <w:gridSpan w:val="2"/>
          </w:tcPr>
          <w:p w14:paraId="7FA81736" w14:textId="77777777" w:rsidR="007D76D4" w:rsidRPr="00647699" w:rsidRDefault="007D76D4" w:rsidP="007D62EF">
            <w:pPr>
              <w:pStyle w:val="Biblio"/>
              <w:spacing w:before="40"/>
            </w:pPr>
            <w:r>
              <w:rPr>
                <w:smallCaps w:val="0"/>
              </w:rPr>
              <w:t>Denis</w:t>
            </w:r>
            <w:r>
              <w:t xml:space="preserve"> Crouzet, </w:t>
            </w:r>
            <w:r w:rsidR="001D60D4">
              <w:rPr>
                <w:i/>
                <w:smallCaps w:val="0"/>
              </w:rPr>
              <w:t>Paris criminel. 1572</w:t>
            </w:r>
            <w:r w:rsidRPr="007D76D4">
              <w:rPr>
                <w:smallCaps w:val="0"/>
              </w:rPr>
              <w:t xml:space="preserve">, Paris, </w:t>
            </w:r>
            <w:r w:rsidR="001D60D4">
              <w:rPr>
                <w:smallCaps w:val="0"/>
              </w:rPr>
              <w:t>Les Belles Lettres</w:t>
            </w:r>
            <w:r w:rsidRPr="007D76D4">
              <w:rPr>
                <w:smallCaps w:val="0"/>
              </w:rPr>
              <w:t>, 2024.</w:t>
            </w:r>
            <w:r>
              <w:t xml:space="preserve"> </w:t>
            </w:r>
          </w:p>
        </w:tc>
      </w:tr>
      <w:tr w:rsidR="00C151F5" w14:paraId="5AEA8673" w14:textId="77777777" w:rsidTr="007D62EF">
        <w:tc>
          <w:tcPr>
            <w:tcW w:w="9639" w:type="dxa"/>
            <w:gridSpan w:val="3"/>
          </w:tcPr>
          <w:p w14:paraId="0F4EBE63" w14:textId="77777777" w:rsidR="00C151F5" w:rsidRPr="00C151F5" w:rsidRDefault="00C151F5" w:rsidP="00C151F5">
            <w:pPr>
              <w:ind w:left="177" w:firstLine="0"/>
              <w:rPr>
                <w:sz w:val="21"/>
              </w:rPr>
            </w:pPr>
            <w:r w:rsidRPr="00C151F5">
              <w:rPr>
                <w:i/>
                <w:sz w:val="21"/>
              </w:rPr>
              <w:t>À Jérémie Foa s’opposent celles et ceux, Denis Crouzet</w:t>
            </w:r>
            <w:r w:rsidR="00C85FC2">
              <w:rPr>
                <w:i/>
                <w:sz w:val="21"/>
              </w:rPr>
              <w:t xml:space="preserve"> (professeur émérite en histoire moderne à Sorbonne-Université) </w:t>
            </w:r>
            <w:r w:rsidRPr="00C151F5">
              <w:rPr>
                <w:i/>
                <w:sz w:val="21"/>
              </w:rPr>
              <w:t xml:space="preserve">en tête, qui cherchent encore à mieux qualifier les tenants et les aboutissants du massacre. Dans </w:t>
            </w:r>
            <w:r w:rsidRPr="00C151F5">
              <w:rPr>
                <w:sz w:val="21"/>
              </w:rPr>
              <w:t>Paris criminel</w:t>
            </w:r>
            <w:r w:rsidRPr="00C151F5">
              <w:rPr>
                <w:i/>
                <w:sz w:val="21"/>
              </w:rPr>
              <w:t>, Denis Crouzet revient à ses thèses sur les origines du massacre de la Saint-Barthélemy</w:t>
            </w:r>
            <w:r w:rsidR="00C85FC2">
              <w:rPr>
                <w:i/>
                <w:sz w:val="21"/>
              </w:rPr>
              <w:t xml:space="preserve">, </w:t>
            </w:r>
            <w:r w:rsidRPr="00C151F5">
              <w:rPr>
                <w:i/>
                <w:sz w:val="21"/>
              </w:rPr>
              <w:t xml:space="preserve">et les logiques politiques et sociales du massacre. Le fond de sa thèse demeure religieux et tout découle, pour lui, de l’intention politique, mue en phénomène de violence de masse. Il serait aussi difficile de s’attarder sur les victimes en tant qu’individus, tant les échantillons de sources sont peu nombreux. Les actes notariés révèleraient une fenêtre du massacre trop réduite pour qu’on puisse en tirer une généralisation. En somme, ce livre montre que les débats sur la Saint-Barthélemy, et plus généralement sur les massacres religieux, n’ont pas fini de faire couler l’encre. </w:t>
            </w:r>
          </w:p>
        </w:tc>
      </w:tr>
    </w:tbl>
    <w:p w14:paraId="7234C33D" w14:textId="77777777" w:rsidR="00C151F5" w:rsidRPr="00C151F5" w:rsidRDefault="00C151F5" w:rsidP="00C151F5">
      <w:pPr>
        <w:spacing w:line="259" w:lineRule="auto"/>
        <w:ind w:firstLine="0"/>
        <w:jc w:val="left"/>
        <w:rPr>
          <w:rFonts w:eastAsiaTheme="minorEastAsia"/>
          <w:smallCaps/>
          <w:szCs w:val="24"/>
        </w:rPr>
      </w:pPr>
    </w:p>
    <w:p w14:paraId="6D32F6B7" w14:textId="77777777" w:rsidR="0000002D" w:rsidRPr="001876DF" w:rsidRDefault="0000002D" w:rsidP="00620E44"/>
    <w:p w14:paraId="572FB88D" w14:textId="77777777" w:rsidR="0000002D" w:rsidRDefault="0000002D" w:rsidP="00620E44">
      <w:pPr>
        <w:pStyle w:val="Titre"/>
        <w:sectPr w:rsidR="0000002D" w:rsidSect="00A77E43">
          <w:type w:val="oddPage"/>
          <w:pgSz w:w="11906" w:h="16838"/>
          <w:pgMar w:top="964" w:right="1304" w:bottom="1134" w:left="1304" w:header="709" w:footer="709" w:gutter="0"/>
          <w:cols w:space="708"/>
          <w:docGrid w:linePitch="360"/>
        </w:sectPr>
      </w:pPr>
    </w:p>
    <w:p w14:paraId="5CC7CC9E" w14:textId="77777777" w:rsidR="00A77E43" w:rsidRDefault="00A77E43" w:rsidP="00620E44">
      <w:pPr>
        <w:pStyle w:val="Titre"/>
        <w:sectPr w:rsidR="00A77E43" w:rsidSect="002151F8">
          <w:type w:val="evenPage"/>
          <w:pgSz w:w="11906" w:h="16838"/>
          <w:pgMar w:top="964" w:right="1304" w:bottom="1134" w:left="1304" w:header="709" w:footer="709" w:gutter="0"/>
          <w:cols w:space="708"/>
          <w:docGrid w:linePitch="360"/>
        </w:sectPr>
      </w:pPr>
      <w:bookmarkStart w:id="10" w:name="_Toc185425570"/>
    </w:p>
    <w:p w14:paraId="7801A99A" w14:textId="77777777" w:rsidR="0000002D" w:rsidRPr="009D6DD9" w:rsidRDefault="0000002D" w:rsidP="00620E44">
      <w:pPr>
        <w:pStyle w:val="Titre"/>
      </w:pPr>
      <w:r w:rsidRPr="009D6DD9">
        <w:lastRenderedPageBreak/>
        <w:t>Séance</w:t>
      </w:r>
      <w:r>
        <w:t xml:space="preserve"> 7 </w:t>
      </w:r>
      <w:r>
        <w:br/>
      </w:r>
      <w:r w:rsidRPr="00020974">
        <w:rPr>
          <w:b/>
        </w:rPr>
        <w:t>Dépouiller une source de A à Z</w:t>
      </w:r>
      <w:bookmarkEnd w:id="10"/>
      <w:r>
        <w:t xml:space="preserve">  </w:t>
      </w:r>
      <w:r w:rsidRPr="009D6DD9">
        <w:t xml:space="preserve"> </w:t>
      </w:r>
    </w:p>
    <w:p w14:paraId="72D481D6" w14:textId="77777777" w:rsidR="0000002D" w:rsidRPr="001876DF" w:rsidRDefault="0000002D" w:rsidP="00620E44">
      <w:pPr>
        <w:pStyle w:val="Titre1"/>
      </w:pPr>
      <w:r w:rsidRPr="001876DF">
        <w:t xml:space="preserve">Document 1. </w:t>
      </w:r>
      <w:r w:rsidR="00AF6E97">
        <w:t>Le royaume de François I</w:t>
      </w:r>
      <w:r w:rsidR="00AF6E97" w:rsidRPr="00AF6E97">
        <w:rPr>
          <w:vertAlign w:val="superscript"/>
        </w:rPr>
        <w:t>er</w:t>
      </w:r>
      <w:r w:rsidR="00AF6E97">
        <w:t xml:space="preserve"> d’après Marino Cavalli</w:t>
      </w:r>
    </w:p>
    <w:p w14:paraId="5D85E98C" w14:textId="77777777" w:rsidR="0000002D" w:rsidRDefault="00444FE6" w:rsidP="00620E44">
      <w:r w:rsidRPr="00444FE6">
        <w:t>Depuis quatre-vingts ans le gouvernement de France ajoute toujours aux propriétés de la</w:t>
      </w:r>
      <w:r>
        <w:t xml:space="preserve"> </w:t>
      </w:r>
      <w:r w:rsidRPr="00444FE6">
        <w:t>couronne sans rien aliéner : les confiscations, les successions, les achats, ont tellement absorbé le bien</w:t>
      </w:r>
      <w:r>
        <w:t xml:space="preserve"> </w:t>
      </w:r>
      <w:r w:rsidRPr="00444FE6">
        <w:t>des particuliers, que désormais il n'y a qu'un seul prince, monseigneur d'Aumale, qui possède un</w:t>
      </w:r>
      <w:r>
        <w:t xml:space="preserve"> </w:t>
      </w:r>
      <w:r w:rsidRPr="00444FE6">
        <w:t>revenu de vingt mille écus. Et même ceux qui possèdent des revenus et des états, n'en sont les maîtres,</w:t>
      </w:r>
      <w:r>
        <w:t xml:space="preserve"> </w:t>
      </w:r>
      <w:r w:rsidRPr="00444FE6">
        <w:t>pour ainsi dire, qu'en premier ressort</w:t>
      </w:r>
      <w:r w:rsidR="00F701C2">
        <w:t> </w:t>
      </w:r>
      <w:r w:rsidRPr="00444FE6">
        <w:t>; en cas de doute, on en appelle au roi, qui juge de pleine autorité.</w:t>
      </w:r>
      <w:r>
        <w:t xml:space="preserve"> </w:t>
      </w:r>
      <w:r w:rsidRPr="00444FE6">
        <w:t>Ajoutez les nouveaux impôts, les garnisons des soldats, et autres fardeaux qui pèsent sur eux depuis</w:t>
      </w:r>
      <w:r>
        <w:t xml:space="preserve"> </w:t>
      </w:r>
      <w:r w:rsidRPr="00444FE6">
        <w:t>quelque temps. La couronne fait des progrès continuels en crédit et en richesse, et elle se garantit en</w:t>
      </w:r>
      <w:r>
        <w:t xml:space="preserve"> </w:t>
      </w:r>
      <w:r w:rsidRPr="00444FE6">
        <w:t>même temps contre les guerres civiles. Les princes, étant pauvres, ne peuvent rien oser contre le roi,</w:t>
      </w:r>
      <w:r>
        <w:t xml:space="preserve"> </w:t>
      </w:r>
      <w:r w:rsidRPr="00444FE6">
        <w:t>ainsi que le faisaient jadis les ducs de Bretagne, de Normandie, de Bourgogne, et tant d'autres grands</w:t>
      </w:r>
      <w:r>
        <w:t xml:space="preserve"> </w:t>
      </w:r>
      <w:r w:rsidRPr="00444FE6">
        <w:t>seigneurs de Gascogne. Si quelqu'un, par un mouvement irréfléchi se hasardait à résister, comme le</w:t>
      </w:r>
      <w:r>
        <w:t xml:space="preserve"> </w:t>
      </w:r>
      <w:r w:rsidRPr="00444FE6">
        <w:t>fit par exemple le prince de Bourbon, celui-là fournirait seulement au roi l'occasion de</w:t>
      </w:r>
      <w:r>
        <w:t xml:space="preserve"> </w:t>
      </w:r>
      <w:r w:rsidRPr="00444FE6">
        <w:t>s'enrichir encore plus par sa ruine. En somme, on pourrait affirmer que cette loi salique, en interdisa</w:t>
      </w:r>
      <w:r>
        <w:t xml:space="preserve">nt </w:t>
      </w:r>
      <w:r w:rsidRPr="00444FE6">
        <w:t>le trône aux puinés</w:t>
      </w:r>
      <w:r w:rsidR="00F701C2">
        <w:t>*</w:t>
      </w:r>
      <w:r w:rsidRPr="00444FE6">
        <w:t xml:space="preserve"> et aux femmes, et en proclamant l'inaliénabilité</w:t>
      </w:r>
      <w:r w:rsidR="003D5A2C">
        <w:t>*</w:t>
      </w:r>
      <w:r w:rsidRPr="00444FE6">
        <w:t xml:space="preserve"> des biens de la couronne, si elle</w:t>
      </w:r>
      <w:r>
        <w:t xml:space="preserve"> </w:t>
      </w:r>
      <w:r w:rsidRPr="00444FE6">
        <w:t>n'a pas donné à la France l'empire du monde chrétien, lui a au moins frayé le chemin le plus sûr pour</w:t>
      </w:r>
      <w:r>
        <w:t xml:space="preserve"> </w:t>
      </w:r>
      <w:r w:rsidRPr="00444FE6">
        <w:t>y arriver. Et si le roi de France n'avait pas rencontré dans sa route un prince aussi puissant et aussi</w:t>
      </w:r>
      <w:r>
        <w:t xml:space="preserve"> </w:t>
      </w:r>
      <w:r w:rsidRPr="00444FE6">
        <w:t xml:space="preserve">bien au fait des desseins de cette couronne que l'est Charles </w:t>
      </w:r>
      <w:r w:rsidR="009A7AAA">
        <w:t>Quint</w:t>
      </w:r>
      <w:r w:rsidRPr="00444FE6">
        <w:t>, certes l'Italie presque toute entière, et</w:t>
      </w:r>
      <w:r>
        <w:t xml:space="preserve"> </w:t>
      </w:r>
      <w:r w:rsidRPr="00444FE6">
        <w:t>une partie de l'Espagne (par suite des prétentions sur la Navarre), tous les Pays-Bas et quelques-uns</w:t>
      </w:r>
      <w:r>
        <w:t xml:space="preserve"> </w:t>
      </w:r>
      <w:r w:rsidRPr="00444FE6">
        <w:t>des états de l'empereur, obéiraient maintenant aux fleurs de lys, et la dignité impériale appartiendrait</w:t>
      </w:r>
      <w:r>
        <w:t xml:space="preserve"> </w:t>
      </w:r>
      <w:r w:rsidRPr="00444FE6">
        <w:t xml:space="preserve">derechef à la France </w:t>
      </w:r>
      <w:r>
        <w:rPr>
          <w:rFonts w:ascii="Times New Roman" w:hAnsi="Times New Roman" w:cs="Times New Roman"/>
        </w:rPr>
        <w:t>[</w:t>
      </w:r>
      <w:r>
        <w:t>...</w:t>
      </w:r>
      <w:r>
        <w:rPr>
          <w:rFonts w:ascii="Times New Roman" w:hAnsi="Times New Roman" w:cs="Times New Roman"/>
        </w:rPr>
        <w:t>]</w:t>
      </w:r>
      <w:r w:rsidRPr="00444FE6">
        <w:t>. L</w:t>
      </w:r>
      <w:r w:rsidR="00AF6E97">
        <w:t>’</w:t>
      </w:r>
      <w:r w:rsidRPr="00444FE6">
        <w:t>empereur visait toujours à l'abaissement de cette puissance française, qui</w:t>
      </w:r>
      <w:r>
        <w:t xml:space="preserve"> </w:t>
      </w:r>
      <w:r w:rsidRPr="00444FE6">
        <w:t>grandissait de manière que les successeurs du roi auraient bien pu devenir les maîtres de l'Allemagne,</w:t>
      </w:r>
      <w:r>
        <w:t xml:space="preserve"> </w:t>
      </w:r>
      <w:r w:rsidRPr="00444FE6">
        <w:t>de l'Italie, de l'Espagne même. C'est pour cela qu'on a amené la France à renoncer à Naples et à Milan,</w:t>
      </w:r>
      <w:r>
        <w:t xml:space="preserve"> </w:t>
      </w:r>
      <w:r w:rsidRPr="00444FE6">
        <w:t>qui passaient pour être un héritage de la maison d'Anjou ; que dernièrement, elle a perdu ses droits sur</w:t>
      </w:r>
      <w:r>
        <w:t xml:space="preserve"> </w:t>
      </w:r>
      <w:r w:rsidRPr="00444FE6">
        <w:t>la Flandre, la Bourgogne et sur le comté d'Artois, et que maintenant on parle d'une</w:t>
      </w:r>
      <w:r>
        <w:t xml:space="preserve"> </w:t>
      </w:r>
      <w:r w:rsidRPr="00444FE6">
        <w:t>renonciation semblable pour la Savoie et le Piémont</w:t>
      </w:r>
      <w:r w:rsidR="0000002D" w:rsidRPr="001876DF">
        <w:t>.</w:t>
      </w:r>
      <w:r w:rsidR="0000002D">
        <w:t xml:space="preserve"> </w:t>
      </w:r>
    </w:p>
    <w:p w14:paraId="755D94F8" w14:textId="77777777" w:rsidR="00AF6E97" w:rsidRPr="00AF6E97" w:rsidRDefault="00444FE6" w:rsidP="00620E44">
      <w:r>
        <w:rPr>
          <w:rFonts w:ascii="Times New Roman" w:hAnsi="Times New Roman" w:cs="Times New Roman"/>
        </w:rPr>
        <w:t>[</w:t>
      </w:r>
      <w:r>
        <w:t>...</w:t>
      </w:r>
      <w:r>
        <w:rPr>
          <w:rFonts w:ascii="Times New Roman" w:hAnsi="Times New Roman" w:cs="Times New Roman"/>
        </w:rPr>
        <w:t>]</w:t>
      </w:r>
      <w:r>
        <w:t xml:space="preserve"> </w:t>
      </w:r>
      <w:r w:rsidR="00AF6E97" w:rsidRPr="00AF6E97">
        <w:t xml:space="preserve">Le roi est maintenant âgé de cinquante-quatre ans : son aspect est tout à fait royal, en sorte que, sans avoir jamais vu sa figure ni son portrait, à le regarder seulement, on dirait aussitôt : c’est le roi. </w:t>
      </w:r>
      <w:r w:rsidR="00AF6E97">
        <w:rPr>
          <w:rFonts w:ascii="Times New Roman" w:hAnsi="Times New Roman" w:cs="Times New Roman"/>
        </w:rPr>
        <w:t>[</w:t>
      </w:r>
      <w:r w:rsidR="00AF6E97">
        <w:t>...</w:t>
      </w:r>
      <w:r w:rsidR="00AF6E97">
        <w:rPr>
          <w:rFonts w:ascii="Times New Roman" w:hAnsi="Times New Roman" w:cs="Times New Roman"/>
        </w:rPr>
        <w:t>]</w:t>
      </w:r>
      <w:r w:rsidR="00AF6E97" w:rsidRPr="00AF6E97">
        <w:t xml:space="preserve">. Son tempérament est robuste, malgré les fatigues excessives qu’il a toujours endurées et qu’il endure encore dans tant d’expéditions et de voyages. Il y a bien peu d’hommes qui eussent supporté de si grandes adversités. </w:t>
      </w:r>
      <w:r w:rsidR="00AF6E97">
        <w:rPr>
          <w:rFonts w:ascii="Times New Roman" w:hAnsi="Times New Roman" w:cs="Times New Roman"/>
        </w:rPr>
        <w:t>[</w:t>
      </w:r>
      <w:r w:rsidR="00AF6E97">
        <w:t>...</w:t>
      </w:r>
      <w:r w:rsidR="00AF6E97">
        <w:rPr>
          <w:rFonts w:ascii="Times New Roman" w:hAnsi="Times New Roman" w:cs="Times New Roman"/>
        </w:rPr>
        <w:t>]</w:t>
      </w:r>
      <w:r w:rsidR="00AF6E97" w:rsidRPr="00AF6E97">
        <w:t>.</w:t>
      </w:r>
      <w:r w:rsidR="00AF6E97">
        <w:t xml:space="preserve"> </w:t>
      </w:r>
      <w:r w:rsidR="00AF6E97" w:rsidRPr="00AF6E97">
        <w:t>Ce roi, comme tous les autres rois de France, a reçu de Dieu le don singulier de guérir les écrouelles</w:t>
      </w:r>
      <w:r w:rsidR="009A7AAA">
        <w:t>*</w:t>
      </w:r>
      <w:r w:rsidR="00AF6E97" w:rsidRPr="00AF6E97">
        <w:t xml:space="preserve"> par son attachement. Les habitants même de l’Espagne accourent pour profiter de cette propriété merveilleuse. </w:t>
      </w:r>
      <w:r w:rsidR="00AF6E97">
        <w:rPr>
          <w:rFonts w:ascii="Times New Roman" w:hAnsi="Times New Roman" w:cs="Times New Roman"/>
        </w:rPr>
        <w:t>[</w:t>
      </w:r>
      <w:r w:rsidR="00AF6E97">
        <w:t>...</w:t>
      </w:r>
      <w:r w:rsidR="00AF6E97">
        <w:rPr>
          <w:rFonts w:ascii="Times New Roman" w:hAnsi="Times New Roman" w:cs="Times New Roman"/>
        </w:rPr>
        <w:t>]</w:t>
      </w:r>
      <w:r w:rsidR="00AF6E97" w:rsidRPr="00AF6E97">
        <w:t xml:space="preserve"> Ainsi, puisque l’affluence augmente toujours, il faut bien croire que c’est Dieu qui se sert de ce moyen pour délivrer les infirmes, et pour accroître en même temps la dignité de la couronne de France. </w:t>
      </w:r>
    </w:p>
    <w:p w14:paraId="2228EAA0" w14:textId="77777777" w:rsidR="00444FE6" w:rsidRDefault="00AF6E97" w:rsidP="00620E44">
      <w:r w:rsidRPr="00AF6E97">
        <w:t xml:space="preserve">Autant ce roi supporte bien les fatigues corporelles et les endure sans jamais plier sous le fardeau, autant les soucis de l’esprit lui pèsent, et il s’en décharge quasi entièrement sur le cardinal de Tournon et sur l’amiral Claude d’Annebault. Il ne prend aucune décision, il ne fait aucune réponse, qu’il n’ait écouté leur conseil : en toute chose il s’en tient à leur avis ; et, si jamais (ce qui est fort rare) on donne une réponse à quelque ambassadeur ou si l’on fait une concession qui ne soit pas approuvée par ces deux conseillers, il la révoque </w:t>
      </w:r>
      <w:proofErr w:type="gramStart"/>
      <w:r w:rsidRPr="00AF6E97">
        <w:t>ou</w:t>
      </w:r>
      <w:proofErr w:type="gramEnd"/>
      <w:r w:rsidRPr="00AF6E97">
        <w:t xml:space="preserve"> la modifie. Mais pour ce qui est des grandes affaires de l’État, de la paix ou de la guerre, </w:t>
      </w:r>
      <w:r w:rsidR="003E06DB">
        <w:t>S</w:t>
      </w:r>
      <w:r w:rsidRPr="00AF6E97">
        <w:t xml:space="preserve">a </w:t>
      </w:r>
      <w:r w:rsidR="003E06DB">
        <w:t>M</w:t>
      </w:r>
      <w:r w:rsidRPr="00AF6E97">
        <w:t>ajesté, docile en tout le reste, veut que les autres obéissent à sa volonté. Dans ce cas-là, il n’est personne à la cour, quelque autorité qu’il possède, qui ose en remontrer à sa majesté.</w:t>
      </w:r>
    </w:p>
    <w:p w14:paraId="16BDD1C5" w14:textId="77777777" w:rsidR="0000002D" w:rsidRPr="008B1C2C" w:rsidRDefault="005F68AA" w:rsidP="005F68AA">
      <w:pPr>
        <w:pStyle w:val="Citationsources"/>
        <w:ind w:right="1218"/>
      </w:pPr>
      <w:r>
        <w:rPr>
          <w:noProof/>
        </w:rPr>
        <w:drawing>
          <wp:anchor distT="0" distB="0" distL="114300" distR="114300" simplePos="0" relativeHeight="251663360" behindDoc="1" locked="0" layoutInCell="1" allowOverlap="1" wp14:anchorId="385BED34" wp14:editId="498F9C8E">
            <wp:simplePos x="0" y="0"/>
            <wp:positionH relativeFrom="column">
              <wp:posOffset>5255754</wp:posOffset>
            </wp:positionH>
            <wp:positionV relativeFrom="paragraph">
              <wp:posOffset>15875</wp:posOffset>
            </wp:positionV>
            <wp:extent cx="655955" cy="647700"/>
            <wp:effectExtent l="0" t="0" r="4445" b="0"/>
            <wp:wrapNone/>
            <wp:docPr id="23" name="Image 23">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a:hlinkClick r:id="rId48"/>
                    </pic:cNvPr>
                    <pic:cNvPicPr/>
                  </pic:nvPicPr>
                  <pic:blipFill rotWithShape="1">
                    <a:blip r:embed="rId49" cstate="print">
                      <a:extLst>
                        <a:ext uri="{28A0092B-C50C-407E-A947-70E740481C1C}">
                          <a14:useLocalDpi xmlns:a14="http://schemas.microsoft.com/office/drawing/2010/main" val="0"/>
                        </a:ext>
                      </a:extLst>
                    </a:blip>
                    <a:srcRect l="3060" t="3633" r="3247" b="3820"/>
                    <a:stretch/>
                  </pic:blipFill>
                  <pic:spPr bwMode="auto">
                    <a:xfrm>
                      <a:off x="0" y="0"/>
                      <a:ext cx="655955" cy="64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1C2C">
        <w:t xml:space="preserve">Relation* de Marino </w:t>
      </w:r>
      <w:r w:rsidR="008B1C2C" w:rsidRPr="008B1C2C">
        <w:rPr>
          <w:smallCaps/>
        </w:rPr>
        <w:t>Cavalli</w:t>
      </w:r>
      <w:r w:rsidR="008B1C2C">
        <w:t xml:space="preserve"> devant le Sénat de Venise, </w:t>
      </w:r>
      <w:r w:rsidR="008B1C2C">
        <w:br/>
        <w:t xml:space="preserve">éditée et traduite de l’italien par </w:t>
      </w:r>
      <w:proofErr w:type="spellStart"/>
      <w:r w:rsidR="008B1C2C">
        <w:t>Niccolò</w:t>
      </w:r>
      <w:proofErr w:type="spellEnd"/>
      <w:r w:rsidR="008B1C2C">
        <w:t xml:space="preserve"> </w:t>
      </w:r>
      <w:proofErr w:type="spellStart"/>
      <w:r w:rsidR="008B1C2C" w:rsidRPr="008B1C2C">
        <w:rPr>
          <w:smallCaps/>
        </w:rPr>
        <w:t>Tommaseo</w:t>
      </w:r>
      <w:proofErr w:type="spellEnd"/>
      <w:r w:rsidR="008B1C2C">
        <w:t xml:space="preserve">, dans </w:t>
      </w:r>
      <w:r w:rsidR="008B1C2C">
        <w:rPr>
          <w:i/>
        </w:rPr>
        <w:t xml:space="preserve">Relations des ambassadeurs vénitiens </w:t>
      </w:r>
      <w:r w:rsidR="008B1C2C">
        <w:rPr>
          <w:i/>
        </w:rPr>
        <w:br/>
        <w:t xml:space="preserve">sur les affaires de France au </w:t>
      </w:r>
      <w:proofErr w:type="spellStart"/>
      <w:r w:rsidR="008B1C2C">
        <w:rPr>
          <w:i/>
          <w:smallCaps/>
        </w:rPr>
        <w:t>xvi</w:t>
      </w:r>
      <w:r w:rsidR="008B1C2C" w:rsidRPr="008B1C2C">
        <w:rPr>
          <w:i/>
          <w:vertAlign w:val="superscript"/>
        </w:rPr>
        <w:t>e</w:t>
      </w:r>
      <w:proofErr w:type="spellEnd"/>
      <w:r w:rsidR="008B1C2C">
        <w:rPr>
          <w:i/>
        </w:rPr>
        <w:t xml:space="preserve"> siècle</w:t>
      </w:r>
      <w:r w:rsidR="008B1C2C">
        <w:t>, Paris, Imprimerie royale, 1838, vol. 1, p. 279-285.</w:t>
      </w:r>
      <w:r w:rsidR="00EF7E60">
        <w:br/>
      </w:r>
      <w:r>
        <w:t>Pour accéder au texte intégral, c’est ici</w:t>
      </w:r>
      <w:r w:rsidR="00EF7E60">
        <w:t xml:space="preserve"> </w:t>
      </w:r>
      <w:r w:rsidR="00EF7E60">
        <w:sym w:font="Wingdings" w:char="F0E0"/>
      </w:r>
      <w:r w:rsidR="008B1C2C">
        <w:t xml:space="preserve"> </w:t>
      </w:r>
    </w:p>
    <w:p w14:paraId="0B253DA6" w14:textId="77777777" w:rsidR="00AF6E97" w:rsidRDefault="00AF6E97" w:rsidP="00620E44">
      <w:pPr>
        <w:pStyle w:val="Titre1"/>
      </w:pPr>
      <w:r>
        <w:br w:type="page"/>
      </w:r>
    </w:p>
    <w:p w14:paraId="2EBABCEF" w14:textId="77777777" w:rsidR="0000002D" w:rsidRPr="003509BB" w:rsidRDefault="0000002D" w:rsidP="00620E44">
      <w:pPr>
        <w:pStyle w:val="Titre1"/>
      </w:pPr>
      <w:r w:rsidRPr="003509BB">
        <w:lastRenderedPageBreak/>
        <w:t xml:space="preserve">Document 2. </w:t>
      </w:r>
      <w:r w:rsidR="008B1C2C" w:rsidRPr="003509BB">
        <w:t>Biographie de l’auteur</w:t>
      </w:r>
    </w:p>
    <w:p w14:paraId="4CEED612" w14:textId="77777777" w:rsidR="0000002D" w:rsidRPr="00B2062E" w:rsidRDefault="00C151F5" w:rsidP="00620E44">
      <w:pPr>
        <w:rPr>
          <w:rFonts w:cs="Times New Roman"/>
        </w:rPr>
      </w:pPr>
      <w:r w:rsidRPr="00B2062E">
        <w:rPr>
          <w:smallCaps/>
        </w:rPr>
        <w:t>Cavalli</w:t>
      </w:r>
      <w:r w:rsidRPr="00B2062E">
        <w:t xml:space="preserve">, Marino (Venise, 1500-1573). En 1500, sa famille était déjà bien insérée dans la vie politique et économique de la République de Venise. </w:t>
      </w:r>
      <w:r w:rsidR="00511A69" w:rsidRPr="00B2062E">
        <w:t xml:space="preserve">À travers leurs investissements, on voit apparaître les deux futures orientations de l’activité de Cavalli : la cité et le territoire ; l’approvisionnement alimentaire et le renforcement économique du tissu des centres urbains de la Terre ferme. </w:t>
      </w:r>
      <w:r w:rsidR="00511A69" w:rsidRPr="00B2062E">
        <w:rPr>
          <w:rFonts w:cs="Times New Roman"/>
        </w:rPr>
        <w:t>[</w:t>
      </w:r>
      <w:r w:rsidR="00511A69" w:rsidRPr="00B2062E">
        <w:t>Il obtient</w:t>
      </w:r>
      <w:r w:rsidR="00511A69" w:rsidRPr="00B2062E">
        <w:rPr>
          <w:rFonts w:cs="Times New Roman"/>
        </w:rPr>
        <w:t xml:space="preserve">] en août 1539 une première charge de diplomate en Bavière pour y négocier des céréales et ouvrir un nouveau marché aux Vénitiens. [...] L’action de Cavalli à la cour de Bavière non seulement permettent l’acheminement vers le marché vénitien de 18 à 20 000 boisseaux de céréales au printemps 1540, [...], mais permis aussi d’ouvrir une voie de transport fluvial entre la Bavière et Venise, à travers </w:t>
      </w:r>
      <w:proofErr w:type="spellStart"/>
      <w:r w:rsidR="00511A69" w:rsidRPr="00B2062E">
        <w:rPr>
          <w:rFonts w:cs="Times New Roman"/>
        </w:rPr>
        <w:t>Inssbruck</w:t>
      </w:r>
      <w:proofErr w:type="spellEnd"/>
      <w:r w:rsidR="00511A69" w:rsidRPr="00B2062E">
        <w:rPr>
          <w:rFonts w:cs="Times New Roman"/>
        </w:rPr>
        <w:t xml:space="preserve"> et Trente, qui n’est pas concurrencée par une voie terrestre avant 1590. </w:t>
      </w:r>
    </w:p>
    <w:p w14:paraId="019741B1" w14:textId="77777777" w:rsidR="00511A69" w:rsidRPr="00B2062E" w:rsidRDefault="00511A69" w:rsidP="00620E44">
      <w:r w:rsidRPr="00B2062E">
        <w:t xml:space="preserve">À partir de là, Cavalli endosse un rôle éminent sur le plan politique et diplomatique. </w:t>
      </w:r>
      <w:r w:rsidRPr="00B2062E">
        <w:rPr>
          <w:rFonts w:cs="Times New Roman"/>
        </w:rPr>
        <w:t>[</w:t>
      </w:r>
      <w:r w:rsidRPr="00B2062E">
        <w:t>...</w:t>
      </w:r>
      <w:r w:rsidRPr="00B2062E">
        <w:rPr>
          <w:rFonts w:cs="Times New Roman"/>
        </w:rPr>
        <w:t>]</w:t>
      </w:r>
      <w:r w:rsidRPr="00B2062E">
        <w:t xml:space="preserve"> Il est envoyé comme ambassadeur ordinaire auprès de Ferdinand I</w:t>
      </w:r>
      <w:r w:rsidRPr="004D6E6B">
        <w:rPr>
          <w:vertAlign w:val="superscript"/>
        </w:rPr>
        <w:t>er</w:t>
      </w:r>
      <w:r w:rsidRPr="00B2062E">
        <w:t xml:space="preserve"> ; et en décembre 1543, il prononce une relation* qui constitue le premier exemple, pour Venise comme pour les autres États de la péninsule, d’un rapport technique à propos des questions politiques et économiques. Avec Cavalli, la « relation* » devient un instrument de la politique générale de l’État </w:t>
      </w:r>
      <w:r w:rsidRPr="00B2062E">
        <w:rPr>
          <w:rFonts w:cs="Times New Roman"/>
        </w:rPr>
        <w:t>[</w:t>
      </w:r>
      <w:r w:rsidRPr="00B2062E">
        <w:t>vénitien</w:t>
      </w:r>
      <w:r w:rsidRPr="00B2062E">
        <w:rPr>
          <w:rFonts w:cs="Times New Roman"/>
        </w:rPr>
        <w:t>]</w:t>
      </w:r>
      <w:r w:rsidRPr="00B2062E">
        <w:t xml:space="preserve">. </w:t>
      </w:r>
      <w:r w:rsidRPr="00B2062E">
        <w:rPr>
          <w:rFonts w:cs="Times New Roman"/>
        </w:rPr>
        <w:t>[</w:t>
      </w:r>
      <w:r w:rsidRPr="00B2062E">
        <w:t>...</w:t>
      </w:r>
      <w:r w:rsidRPr="00B2062E">
        <w:rPr>
          <w:rFonts w:cs="Times New Roman"/>
        </w:rPr>
        <w:t>]</w:t>
      </w:r>
      <w:r w:rsidRPr="00B2062E">
        <w:t xml:space="preserve"> Il devient l’expert de la politique européenne et méditerranéenne à Venise</w:t>
      </w:r>
      <w:r w:rsidR="003509BB" w:rsidRPr="00B2062E">
        <w:t>, de telle sorte qu’il est nommé, le 4 mars 1544, ambassadeur à la cour de François I</w:t>
      </w:r>
      <w:r w:rsidR="003509BB" w:rsidRPr="00B2062E">
        <w:rPr>
          <w:vertAlign w:val="superscript"/>
        </w:rPr>
        <w:t>er</w:t>
      </w:r>
      <w:r w:rsidR="003509BB" w:rsidRPr="00B2062E">
        <w:t xml:space="preserve">. Il y reste jusqu’en février 1546. À la cour de France, où il est possible de suivre « toutes les manigances des pouvoirs du monde », il s’intéresse particulièrement au rôle économique de Venise en Méditerranée. </w:t>
      </w:r>
    </w:p>
    <w:p w14:paraId="22BFCBEA" w14:textId="77777777" w:rsidR="00B2062E" w:rsidRPr="00B2062E" w:rsidRDefault="00C617B7" w:rsidP="00B2062E">
      <w:pPr>
        <w:rPr>
          <w:rFonts w:cs="Times New Roman"/>
        </w:rPr>
      </w:pPr>
      <w:r>
        <w:rPr>
          <w:noProof/>
        </w:rPr>
        <w:drawing>
          <wp:anchor distT="0" distB="0" distL="114300" distR="114300" simplePos="0" relativeHeight="251668480" behindDoc="0" locked="0" layoutInCell="1" allowOverlap="1" wp14:anchorId="70E79A78" wp14:editId="001DD992">
            <wp:simplePos x="0" y="0"/>
            <wp:positionH relativeFrom="column">
              <wp:posOffset>5292090</wp:posOffset>
            </wp:positionH>
            <wp:positionV relativeFrom="paragraph">
              <wp:posOffset>1985010</wp:posOffset>
            </wp:positionV>
            <wp:extent cx="607115" cy="612000"/>
            <wp:effectExtent l="0" t="0" r="2540" b="0"/>
            <wp:wrapNone/>
            <wp:docPr id="25" name="Image 25">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a:hlinkClick r:id="rId50"/>
                    </pic:cNvPr>
                    <pic:cNvPicPr/>
                  </pic:nvPicPr>
                  <pic:blipFill rotWithShape="1">
                    <a:blip r:embed="rId51" cstate="print">
                      <a:extLst>
                        <a:ext uri="{28A0092B-C50C-407E-A947-70E740481C1C}">
                          <a14:useLocalDpi xmlns:a14="http://schemas.microsoft.com/office/drawing/2010/main" val="0"/>
                        </a:ext>
                      </a:extLst>
                    </a:blip>
                    <a:srcRect l="2294" t="2486" r="3246" b="2294"/>
                    <a:stretch/>
                  </pic:blipFill>
                  <pic:spPr bwMode="auto">
                    <a:xfrm>
                      <a:off x="0" y="0"/>
                      <a:ext cx="607115" cy="61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09BB" w:rsidRPr="00B2062E">
        <w:rPr>
          <w:rFonts w:cs="Times New Roman"/>
        </w:rPr>
        <w:t>[</w:t>
      </w:r>
      <w:r w:rsidR="003509BB" w:rsidRPr="00B2062E">
        <w:t>...</w:t>
      </w:r>
      <w:r w:rsidR="003509BB" w:rsidRPr="00B2062E">
        <w:rPr>
          <w:rFonts w:cs="Times New Roman"/>
        </w:rPr>
        <w:t>]</w:t>
      </w:r>
      <w:r w:rsidR="003509BB" w:rsidRPr="00B2062E">
        <w:t xml:space="preserve"> Ses dépêches* comme la relation de 1546 assurent un rôle politique essentiel, en envisageant des alternatives commerciales, mais aussi en soulignant une série de propositions de réformes de l’État vénitien, pour partie fondées sur l’exemple français. Il propose l’émergence d’une industrie « des pains », à bas coût et productiviste, et non plus seulement de luxe ; la réorganisation de l’État, en tant que structure bureaucratique et de pouvoir ; la formation d’une milice de Vénitiens, et non plus de mercenaires ; l’établissement de la carrière diplomatique dans un rôle bien défini, au sein des structures de l’État, toujours plus « technique » et avec une base économique solide. </w:t>
      </w:r>
      <w:r w:rsidR="003509BB" w:rsidRPr="00B2062E">
        <w:rPr>
          <w:rFonts w:cs="Times New Roman"/>
        </w:rPr>
        <w:t>[</w:t>
      </w:r>
      <w:r w:rsidR="003509BB" w:rsidRPr="00B2062E">
        <w:t>...</w:t>
      </w:r>
      <w:r w:rsidR="003509BB" w:rsidRPr="00B2062E">
        <w:rPr>
          <w:rFonts w:cs="Times New Roman"/>
        </w:rPr>
        <w:t xml:space="preserve">] À la cour de France, comme dans d’autres débats des cours européennes, Cavalli était considéré comme le maître de « l’école des affaires du monde ». Les relations circulaient dans les cours et dans les salons littéraires, comme un important outil de diffusion culturelle. </w:t>
      </w:r>
      <w:r w:rsidR="00B2062E" w:rsidRPr="00B2062E">
        <w:rPr>
          <w:rFonts w:cs="Times New Roman"/>
        </w:rPr>
        <w:t>[...] L’analyse politique, avec les relations de Cavalli, sort des portraits psychologiques de Paolo Giovio, en ce que ce sont les mécanismes économiques et étatiques qui viennent au premier plan, [...].</w:t>
      </w:r>
    </w:p>
    <w:p w14:paraId="32FE94B8" w14:textId="77777777" w:rsidR="004168F9" w:rsidRDefault="000B2AC5" w:rsidP="00C617B7">
      <w:pPr>
        <w:pStyle w:val="Citationsources"/>
        <w:ind w:right="1076"/>
      </w:pPr>
      <w:r w:rsidRPr="000B2AC5">
        <w:t xml:space="preserve">Achille </w:t>
      </w:r>
      <w:proofErr w:type="spellStart"/>
      <w:r w:rsidRPr="000B2AC5">
        <w:rPr>
          <w:smallCaps/>
        </w:rPr>
        <w:t>Olivieri</w:t>
      </w:r>
      <w:proofErr w:type="spellEnd"/>
      <w:r w:rsidRPr="000B2AC5">
        <w:t xml:space="preserve">, « Cavalli, Marino », </w:t>
      </w:r>
      <w:proofErr w:type="spellStart"/>
      <w:r w:rsidRPr="000B2AC5">
        <w:rPr>
          <w:i/>
        </w:rPr>
        <w:t>Dizionario</w:t>
      </w:r>
      <w:proofErr w:type="spellEnd"/>
      <w:r w:rsidRPr="000B2AC5">
        <w:rPr>
          <w:i/>
        </w:rPr>
        <w:t xml:space="preserve"> </w:t>
      </w:r>
      <w:proofErr w:type="spellStart"/>
      <w:r w:rsidRPr="000B2AC5">
        <w:rPr>
          <w:i/>
        </w:rPr>
        <w:t>Biografico</w:t>
      </w:r>
      <w:proofErr w:type="spellEnd"/>
      <w:r w:rsidRPr="000B2AC5">
        <w:rPr>
          <w:i/>
        </w:rPr>
        <w:t xml:space="preserve"> </w:t>
      </w:r>
      <w:proofErr w:type="spellStart"/>
      <w:r w:rsidRPr="000B2AC5">
        <w:rPr>
          <w:i/>
        </w:rPr>
        <w:t>degli</w:t>
      </w:r>
      <w:proofErr w:type="spellEnd"/>
      <w:r w:rsidRPr="000B2AC5">
        <w:rPr>
          <w:i/>
        </w:rPr>
        <w:t xml:space="preserve"> </w:t>
      </w:r>
      <w:proofErr w:type="spellStart"/>
      <w:r w:rsidRPr="000B2AC5">
        <w:rPr>
          <w:i/>
        </w:rPr>
        <w:t>Italiani</w:t>
      </w:r>
      <w:proofErr w:type="spellEnd"/>
      <w:r w:rsidR="00A7331D">
        <w:rPr>
          <w:i/>
        </w:rPr>
        <w:t xml:space="preserve"> (DBI)</w:t>
      </w:r>
      <w:r w:rsidRPr="000B2AC5">
        <w:t>, 22, 1979</w:t>
      </w:r>
      <w:r w:rsidR="003509BB">
        <w:t xml:space="preserve">, </w:t>
      </w:r>
      <w:r w:rsidR="003509BB">
        <w:br/>
        <w:t xml:space="preserve">traduit de l’italien par Pierre </w:t>
      </w:r>
      <w:proofErr w:type="spellStart"/>
      <w:r w:rsidR="003509BB" w:rsidRPr="003509BB">
        <w:rPr>
          <w:smallCaps/>
        </w:rPr>
        <w:t>Nevejans</w:t>
      </w:r>
      <w:proofErr w:type="spellEnd"/>
      <w:r w:rsidRPr="000B2AC5">
        <w:t>.</w:t>
      </w:r>
      <w:r w:rsidR="00C617B7">
        <w:t xml:space="preserve"> Notice intégrale disponible en ligne </w:t>
      </w:r>
    </w:p>
    <w:p w14:paraId="6B9C2B79" w14:textId="77777777" w:rsidR="008B1C2C" w:rsidRPr="001876DF" w:rsidRDefault="008B1C2C" w:rsidP="005B1CA8">
      <w:pPr>
        <w:pStyle w:val="Titre1"/>
        <w:spacing w:before="120"/>
      </w:pPr>
      <w:r>
        <w:t xml:space="preserve">Vocabulaire </w:t>
      </w:r>
    </w:p>
    <w:p w14:paraId="613CB43C" w14:textId="77777777" w:rsidR="008649BD" w:rsidRDefault="008649BD" w:rsidP="00B2062E">
      <w:pPr>
        <w:pStyle w:val="Sansinterligne"/>
        <w:spacing w:before="60" w:after="60" w:line="276" w:lineRule="auto"/>
        <w:jc w:val="both"/>
        <w:rPr>
          <w:sz w:val="21"/>
          <w:szCs w:val="21"/>
        </w:rPr>
      </w:pPr>
      <w:r w:rsidRPr="003D5A2C">
        <w:rPr>
          <w:b/>
          <w:sz w:val="21"/>
          <w:szCs w:val="21"/>
        </w:rPr>
        <w:t>Écrouelles</w:t>
      </w:r>
      <w:r>
        <w:rPr>
          <w:sz w:val="21"/>
          <w:szCs w:val="21"/>
        </w:rPr>
        <w:t xml:space="preserve"> : fistules plus ou moins purulentes sur le buste, dans le cou et autour des voies respiratoires, liés à une forme de tuberculose chronique. On disait du roi qu’il avait le pouvoir de les guérir en les touchant : on parle de la thaumaturgie du roi de France. </w:t>
      </w:r>
    </w:p>
    <w:p w14:paraId="70DB39FC" w14:textId="77777777" w:rsidR="003509BB" w:rsidRPr="003509BB" w:rsidRDefault="003509BB" w:rsidP="00B2062E">
      <w:pPr>
        <w:pStyle w:val="Sansinterligne"/>
        <w:spacing w:before="60" w:after="60" w:line="276" w:lineRule="auto"/>
        <w:jc w:val="both"/>
        <w:rPr>
          <w:sz w:val="21"/>
          <w:szCs w:val="21"/>
        </w:rPr>
      </w:pPr>
      <w:r>
        <w:rPr>
          <w:b/>
          <w:sz w:val="21"/>
          <w:szCs w:val="21"/>
        </w:rPr>
        <w:t>Dépêches</w:t>
      </w:r>
      <w:r>
        <w:rPr>
          <w:sz w:val="21"/>
          <w:szCs w:val="21"/>
        </w:rPr>
        <w:t xml:space="preserve"> : </w:t>
      </w:r>
      <w:r w:rsidR="00B2062E">
        <w:rPr>
          <w:sz w:val="21"/>
          <w:szCs w:val="21"/>
        </w:rPr>
        <w:t xml:space="preserve">documents, le plus souvent des lettres, à caractère politique et administratif, envoyés plus ou moins loin. Les ambassadeurs en envoient très régulièrement, plusieurs fois par semaine, pour rendre compte de ce qu’ils voient et font pendant leurs missions. </w:t>
      </w:r>
    </w:p>
    <w:p w14:paraId="254C70BC" w14:textId="77777777" w:rsidR="008649BD" w:rsidRPr="008B1C2C" w:rsidRDefault="008649BD" w:rsidP="00B2062E">
      <w:pPr>
        <w:pStyle w:val="Sansinterligne"/>
        <w:spacing w:before="60" w:after="60" w:line="276" w:lineRule="auto"/>
        <w:jc w:val="both"/>
        <w:rPr>
          <w:sz w:val="21"/>
          <w:szCs w:val="21"/>
        </w:rPr>
      </w:pPr>
      <w:r w:rsidRPr="003D5A2C">
        <w:rPr>
          <w:b/>
          <w:sz w:val="21"/>
          <w:szCs w:val="21"/>
        </w:rPr>
        <w:t>Inaliénabilité</w:t>
      </w:r>
      <w:r>
        <w:rPr>
          <w:sz w:val="21"/>
          <w:szCs w:val="21"/>
        </w:rPr>
        <w:t xml:space="preserve"> : état juridique d’une chose dont la propriété ne peut pas être cédée, transmise ou vendue. </w:t>
      </w:r>
    </w:p>
    <w:p w14:paraId="008D9D44" w14:textId="77777777" w:rsidR="008649BD" w:rsidRDefault="008649BD" w:rsidP="00B2062E">
      <w:pPr>
        <w:pStyle w:val="Sansinterligne"/>
        <w:spacing w:before="60" w:after="60" w:line="276" w:lineRule="auto"/>
        <w:jc w:val="both"/>
        <w:rPr>
          <w:sz w:val="21"/>
          <w:szCs w:val="21"/>
        </w:rPr>
      </w:pPr>
      <w:r>
        <w:rPr>
          <w:b/>
          <w:sz w:val="21"/>
          <w:szCs w:val="21"/>
        </w:rPr>
        <w:t>Puiné</w:t>
      </w:r>
      <w:r>
        <w:rPr>
          <w:sz w:val="21"/>
          <w:szCs w:val="21"/>
        </w:rPr>
        <w:t xml:space="preserve"> : enfant né après un frère ou une sœur, c’est-à-dire l’enfant qui n’est pas l’aîné. Dans un contexte de droit de succession favorable uniquement à l’aîné, les « puinés » fondent des branches au patrimoine et droits réduits. </w:t>
      </w:r>
    </w:p>
    <w:p w14:paraId="53D6D952" w14:textId="77777777" w:rsidR="008649BD" w:rsidRDefault="008649BD" w:rsidP="00B2062E">
      <w:pPr>
        <w:pStyle w:val="Sansinterligne"/>
        <w:spacing w:before="60" w:after="60" w:line="276" w:lineRule="auto"/>
        <w:jc w:val="both"/>
        <w:rPr>
          <w:sz w:val="21"/>
          <w:szCs w:val="21"/>
        </w:rPr>
      </w:pPr>
      <w:r w:rsidRPr="008B1C2C">
        <w:rPr>
          <w:b/>
          <w:sz w:val="21"/>
          <w:szCs w:val="21"/>
        </w:rPr>
        <w:t>Relation</w:t>
      </w:r>
      <w:r w:rsidRPr="008B1C2C">
        <w:rPr>
          <w:sz w:val="21"/>
          <w:szCs w:val="21"/>
        </w:rPr>
        <w:t> : discours prononcé par les ambassadeurs de la république de Venise à leur retour de mission, devant le Sénat, puis consigné dans les archives de la cité. Ce discours</w:t>
      </w:r>
      <w:r w:rsidR="00B2062E">
        <w:rPr>
          <w:sz w:val="21"/>
          <w:szCs w:val="21"/>
        </w:rPr>
        <w:t xml:space="preserve">, obligatoire à partir du </w:t>
      </w:r>
      <w:proofErr w:type="spellStart"/>
      <w:r w:rsidR="00B2062E">
        <w:rPr>
          <w:smallCaps/>
          <w:sz w:val="21"/>
          <w:szCs w:val="21"/>
        </w:rPr>
        <w:t>xiv</w:t>
      </w:r>
      <w:r w:rsidR="00B2062E" w:rsidRPr="00B2062E">
        <w:rPr>
          <w:sz w:val="21"/>
          <w:szCs w:val="21"/>
          <w:vertAlign w:val="superscript"/>
        </w:rPr>
        <w:t>e</w:t>
      </w:r>
      <w:proofErr w:type="spellEnd"/>
      <w:r w:rsidR="00B2062E">
        <w:rPr>
          <w:sz w:val="21"/>
          <w:szCs w:val="21"/>
        </w:rPr>
        <w:t xml:space="preserve"> siècle,</w:t>
      </w:r>
      <w:r w:rsidRPr="008B1C2C">
        <w:rPr>
          <w:sz w:val="21"/>
          <w:szCs w:val="21"/>
        </w:rPr>
        <w:t xml:space="preserve"> </w:t>
      </w:r>
      <w:r w:rsidR="00B2062E">
        <w:rPr>
          <w:sz w:val="21"/>
          <w:szCs w:val="21"/>
        </w:rPr>
        <w:t>constitue</w:t>
      </w:r>
      <w:r w:rsidRPr="008B1C2C">
        <w:rPr>
          <w:sz w:val="21"/>
          <w:szCs w:val="21"/>
        </w:rPr>
        <w:t xml:space="preserve"> un rapport détaillé de la situation du pays dans lequel se trouvaient l’ambassadeur et son équipe. </w:t>
      </w:r>
    </w:p>
    <w:p w14:paraId="745C11A7" w14:textId="77777777" w:rsidR="003509BB" w:rsidRDefault="003509BB">
      <w:pPr>
        <w:spacing w:line="259" w:lineRule="auto"/>
        <w:ind w:firstLine="0"/>
        <w:jc w:val="left"/>
        <w:rPr>
          <w:rFonts w:eastAsia="MS Gothic" w:cs="Segoe UI Symbol"/>
          <w:b/>
          <w:sz w:val="24"/>
          <w:szCs w:val="24"/>
        </w:rPr>
      </w:pPr>
      <w:r>
        <w:br w:type="page"/>
      </w:r>
    </w:p>
    <w:p w14:paraId="0B1E2A6F" w14:textId="77777777" w:rsidR="004C2FD5" w:rsidRDefault="004C2FD5" w:rsidP="00A7331D">
      <w:pPr>
        <w:pStyle w:val="Titre1"/>
      </w:pPr>
      <w:r>
        <w:lastRenderedPageBreak/>
        <w:sym w:font="Wingdings" w:char="F043"/>
      </w:r>
      <w:r>
        <w:t xml:space="preserve"> Avant le TD  </w:t>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2095"/>
        <w:gridCol w:w="2095"/>
      </w:tblGrid>
      <w:tr w:rsidR="004C2FD5" w14:paraId="6E5DB077" w14:textId="77777777" w:rsidTr="008A693A">
        <w:trPr>
          <w:trHeight w:val="583"/>
        </w:trPr>
        <w:tc>
          <w:tcPr>
            <w:tcW w:w="5103" w:type="dxa"/>
            <w:vMerge w:val="restart"/>
          </w:tcPr>
          <w:p w14:paraId="1F4E940E" w14:textId="77777777" w:rsidR="004C2FD5" w:rsidRPr="007F7FF8" w:rsidRDefault="004C2FD5" w:rsidP="004C2FD5">
            <w:pPr>
              <w:pStyle w:val="Sansinterligne"/>
              <w:spacing w:after="120"/>
              <w:jc w:val="center"/>
              <w:rPr>
                <w:b/>
                <w:sz w:val="24"/>
              </w:rPr>
            </w:pPr>
            <w:r>
              <w:rPr>
                <w:b/>
                <w:sz w:val="24"/>
              </w:rPr>
              <w:t>Votre premier commentaire rédigé</w:t>
            </w:r>
          </w:p>
          <w:p w14:paraId="2492AB9D" w14:textId="77777777" w:rsidR="004C2FD5" w:rsidRPr="007F7FF8" w:rsidRDefault="004C2FD5" w:rsidP="007A0B39">
            <w:pPr>
              <w:pStyle w:val="Sansinterligne"/>
              <w:jc w:val="center"/>
              <w:rPr>
                <w:b/>
                <w:sz w:val="24"/>
              </w:rPr>
            </w:pPr>
            <w:r>
              <w:t xml:space="preserve">En séance, nous préparerons un commentaire linéaire, </w:t>
            </w:r>
            <w:r>
              <w:br/>
              <w:t xml:space="preserve">c’est-à-dire que nous analyserons la relation de Marino Cavalli ligne après ligne, sans établir ensemble de structure </w:t>
            </w:r>
            <w:r>
              <w:br/>
              <w:t xml:space="preserve">ni de problématique. Ce sera à vous, après la séance 7, </w:t>
            </w:r>
            <w:r>
              <w:br/>
              <w:t xml:space="preserve">de vous plonger dans la bibliographie disponible </w:t>
            </w:r>
            <w:r>
              <w:br/>
              <w:t xml:space="preserve">et de mettre votre commentaire en forme, </w:t>
            </w:r>
            <w:r>
              <w:br/>
              <w:t xml:space="preserve">avant de le rédiger entièrement, en séance 8.   </w:t>
            </w:r>
          </w:p>
        </w:tc>
        <w:tc>
          <w:tcPr>
            <w:tcW w:w="4190" w:type="dxa"/>
            <w:gridSpan w:val="2"/>
          </w:tcPr>
          <w:p w14:paraId="29CE674D" w14:textId="77777777" w:rsidR="004C2FD5" w:rsidRPr="007F7FF8" w:rsidRDefault="004C2FD5" w:rsidP="008A693A">
            <w:pPr>
              <w:pStyle w:val="Sansinterligne"/>
              <w:ind w:left="167"/>
              <w:jc w:val="center"/>
              <w:rPr>
                <w:b/>
                <w:sz w:val="24"/>
                <w:szCs w:val="24"/>
              </w:rPr>
            </w:pPr>
            <w:r>
              <w:rPr>
                <w:b/>
                <w:sz w:val="24"/>
                <w:szCs w:val="24"/>
              </w:rPr>
              <w:t>Avant le TD</w:t>
            </w:r>
            <w:r w:rsidRPr="007F7FF8">
              <w:rPr>
                <w:b/>
                <w:sz w:val="24"/>
                <w:szCs w:val="24"/>
              </w:rPr>
              <w:t>.</w:t>
            </w:r>
            <w:r>
              <w:rPr>
                <w:b/>
                <w:sz w:val="24"/>
                <w:szCs w:val="24"/>
              </w:rPr>
              <w:t xml:space="preserve"> Leçon : </w:t>
            </w:r>
            <w:r>
              <w:rPr>
                <w:b/>
                <w:sz w:val="24"/>
                <w:szCs w:val="24"/>
              </w:rPr>
              <w:br/>
              <w:t>Le royaume de François I</w:t>
            </w:r>
            <w:r w:rsidRPr="004C2FD5">
              <w:rPr>
                <w:b/>
                <w:sz w:val="24"/>
                <w:szCs w:val="24"/>
                <w:vertAlign w:val="superscript"/>
              </w:rPr>
              <w:t>er</w:t>
            </w:r>
            <w:r>
              <w:rPr>
                <w:b/>
                <w:sz w:val="24"/>
                <w:szCs w:val="24"/>
              </w:rPr>
              <w:t xml:space="preserve"> </w:t>
            </w:r>
          </w:p>
        </w:tc>
      </w:tr>
      <w:tr w:rsidR="008A693A" w14:paraId="48F9A2A9" w14:textId="77777777" w:rsidTr="008A693A">
        <w:trPr>
          <w:trHeight w:val="1594"/>
        </w:trPr>
        <w:tc>
          <w:tcPr>
            <w:tcW w:w="5103" w:type="dxa"/>
            <w:vMerge/>
          </w:tcPr>
          <w:p w14:paraId="1B47A79D" w14:textId="77777777" w:rsidR="008A693A" w:rsidRPr="007F7FF8" w:rsidRDefault="008A693A" w:rsidP="007A0B39">
            <w:pPr>
              <w:pStyle w:val="Sansinterligne"/>
              <w:jc w:val="center"/>
            </w:pPr>
          </w:p>
        </w:tc>
        <w:tc>
          <w:tcPr>
            <w:tcW w:w="2095" w:type="dxa"/>
          </w:tcPr>
          <w:p w14:paraId="26F5F88B" w14:textId="77777777" w:rsidR="008A693A" w:rsidRPr="007F7FF8" w:rsidRDefault="008A693A" w:rsidP="008A693A">
            <w:pPr>
              <w:pStyle w:val="Sansinterligne"/>
              <w:spacing w:before="80"/>
              <w:jc w:val="right"/>
              <w:rPr>
                <w:i/>
              </w:rPr>
            </w:pPr>
            <w:r>
              <w:rPr>
                <w:i/>
                <w:noProof/>
              </w:rPr>
              <w:drawing>
                <wp:inline distT="0" distB="0" distL="0" distR="0" wp14:anchorId="14305FC7" wp14:editId="1ED70F71">
                  <wp:extent cx="900000" cy="900000"/>
                  <wp:effectExtent l="0" t="0" r="1905" b="1905"/>
                  <wp:docPr id="24" name="Image 24">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a:hlinkClick r:id="rId52"/>
                          </pic:cNvPr>
                          <pic:cNvPicPr/>
                        </pic:nvPicPr>
                        <pic:blipFill rotWithShape="1">
                          <a:blip r:embed="rId53" cstate="print">
                            <a:extLst>
                              <a:ext uri="{28A0092B-C50C-407E-A947-70E740481C1C}">
                                <a14:useLocalDpi xmlns:a14="http://schemas.microsoft.com/office/drawing/2010/main" val="0"/>
                              </a:ext>
                            </a:extLst>
                          </a:blip>
                          <a:srcRect l="3290" t="3096" r="3206" b="3399"/>
                          <a:stretch/>
                        </pic:blipFill>
                        <pic:spPr bwMode="auto">
                          <a:xfrm>
                            <a:off x="0" y="0"/>
                            <a:ext cx="900000" cy="900000"/>
                          </a:xfrm>
                          <a:prstGeom prst="rect">
                            <a:avLst/>
                          </a:prstGeom>
                          <a:ln>
                            <a:noFill/>
                          </a:ln>
                          <a:extLst>
                            <a:ext uri="{53640926-AAD7-44D8-BBD7-CCE9431645EC}">
                              <a14:shadowObscured xmlns:a14="http://schemas.microsoft.com/office/drawing/2010/main"/>
                            </a:ext>
                          </a:extLst>
                        </pic:spPr>
                      </pic:pic>
                    </a:graphicData>
                  </a:graphic>
                </wp:inline>
              </w:drawing>
            </w:r>
          </w:p>
        </w:tc>
        <w:tc>
          <w:tcPr>
            <w:tcW w:w="2095" w:type="dxa"/>
          </w:tcPr>
          <w:p w14:paraId="454CC36A" w14:textId="77777777" w:rsidR="008A693A" w:rsidRDefault="008A693A" w:rsidP="00002181">
            <w:pPr>
              <w:pStyle w:val="Sansinterligne"/>
              <w:spacing w:before="80"/>
              <w:rPr>
                <w:i/>
              </w:rPr>
            </w:pPr>
            <w:r w:rsidRPr="008A693A">
              <w:rPr>
                <w:i/>
              </w:rPr>
              <w:t xml:space="preserve">Cette leçon vous donne </w:t>
            </w:r>
            <w:r w:rsidR="00002181">
              <w:rPr>
                <w:i/>
              </w:rPr>
              <w:br/>
            </w:r>
            <w:r w:rsidRPr="008A693A">
              <w:rPr>
                <w:i/>
              </w:rPr>
              <w:t>les éléments de contexte et les connaissances pour être efficaces lors de la séance</w:t>
            </w:r>
            <w:r>
              <w:rPr>
                <w:i/>
              </w:rPr>
              <w:t xml:space="preserve">. </w:t>
            </w:r>
          </w:p>
          <w:p w14:paraId="2CF187F6" w14:textId="77777777" w:rsidR="008A693A" w:rsidRPr="008A693A" w:rsidRDefault="008A693A" w:rsidP="008A693A">
            <w:pPr>
              <w:pStyle w:val="Sansinterligne"/>
              <w:spacing w:before="80"/>
            </w:pPr>
            <w:r>
              <w:sym w:font="Wingdings" w:char="F0DF"/>
            </w:r>
            <w:r>
              <w:rPr>
                <w:i/>
              </w:rPr>
              <w:br/>
              <w:t>L’accès à la leçon</w:t>
            </w:r>
          </w:p>
        </w:tc>
      </w:tr>
    </w:tbl>
    <w:p w14:paraId="2BE21360" w14:textId="77777777" w:rsidR="00A7331D" w:rsidRDefault="00A7331D" w:rsidP="00EB0A46">
      <w:pPr>
        <w:pStyle w:val="Titre1"/>
        <w:spacing w:before="240"/>
      </w:pPr>
      <w:r>
        <w:sym w:font="Wingdings" w:char="F03A"/>
      </w:r>
      <w:r>
        <w:t xml:space="preserve"> Outils numériques </w:t>
      </w:r>
    </w:p>
    <w:tbl>
      <w:tblPr>
        <w:tblStyle w:val="Grilledutableau"/>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701"/>
      </w:tblGrid>
      <w:tr w:rsidR="00A7331D" w14:paraId="726B0E64" w14:textId="77777777" w:rsidTr="00C617B7">
        <w:tc>
          <w:tcPr>
            <w:tcW w:w="7655" w:type="dxa"/>
          </w:tcPr>
          <w:p w14:paraId="1B0E0585" w14:textId="77777777" w:rsidR="00A7331D" w:rsidRPr="00551061" w:rsidRDefault="00206FBB" w:rsidP="00C6480B">
            <w:pPr>
              <w:pStyle w:val="Sansinterligne"/>
              <w:spacing w:before="60" w:after="60" w:line="276" w:lineRule="auto"/>
              <w:rPr>
                <w:i/>
                <w:sz w:val="23"/>
                <w:szCs w:val="23"/>
                <w:u w:val="single"/>
              </w:rPr>
            </w:pPr>
            <w:r>
              <w:rPr>
                <w:sz w:val="23"/>
                <w:szCs w:val="23"/>
                <w:u w:val="single"/>
              </w:rPr>
              <w:t>U</w:t>
            </w:r>
            <w:r w:rsidR="00A7331D">
              <w:rPr>
                <w:sz w:val="23"/>
                <w:szCs w:val="23"/>
                <w:u w:val="single"/>
              </w:rPr>
              <w:t xml:space="preserve">ne Intelligence Artificielle de traduction pour les universitaires </w:t>
            </w:r>
            <w:r w:rsidR="00A7331D" w:rsidRPr="00551061">
              <w:rPr>
                <w:sz w:val="23"/>
                <w:szCs w:val="23"/>
                <w:u w:val="single"/>
              </w:rPr>
              <w:t xml:space="preserve"> </w:t>
            </w:r>
            <w:r w:rsidR="00A7331D" w:rsidRPr="00551061">
              <w:rPr>
                <w:i/>
                <w:sz w:val="23"/>
                <w:szCs w:val="23"/>
                <w:u w:val="single"/>
              </w:rPr>
              <w:t xml:space="preserve"> </w:t>
            </w:r>
          </w:p>
        </w:tc>
        <w:tc>
          <w:tcPr>
            <w:tcW w:w="1701" w:type="dxa"/>
            <w:vMerge w:val="restart"/>
            <w:vAlign w:val="center"/>
          </w:tcPr>
          <w:p w14:paraId="03F68946" w14:textId="77777777" w:rsidR="00C617B7" w:rsidRDefault="00C617B7" w:rsidP="00C617B7">
            <w:pPr>
              <w:pStyle w:val="Sansinterligne"/>
              <w:spacing w:after="60"/>
              <w:rPr>
                <w:i/>
                <w:noProof/>
              </w:rPr>
            </w:pPr>
          </w:p>
          <w:p w14:paraId="23FD009F" w14:textId="77777777" w:rsidR="00A7331D" w:rsidRDefault="00C617B7" w:rsidP="00C617B7">
            <w:pPr>
              <w:pStyle w:val="Sansinterligne"/>
              <w:spacing w:after="60"/>
              <w:jc w:val="center"/>
              <w:rPr>
                <w:noProof/>
              </w:rPr>
            </w:pPr>
            <w:r>
              <w:rPr>
                <w:i/>
                <w:noProof/>
              </w:rPr>
              <w:t>L’accès à DeepL</w:t>
            </w:r>
          </w:p>
          <w:p w14:paraId="3C0DA476" w14:textId="77777777" w:rsidR="00C617B7" w:rsidRPr="00C617B7" w:rsidRDefault="00C617B7" w:rsidP="00C617B7">
            <w:pPr>
              <w:pStyle w:val="Sansinterligne"/>
              <w:spacing w:after="60"/>
              <w:jc w:val="center"/>
            </w:pPr>
            <w:r>
              <w:rPr>
                <w:noProof/>
              </w:rPr>
              <w:drawing>
                <wp:inline distT="0" distB="0" distL="0" distR="0" wp14:anchorId="3B782219" wp14:editId="0AC0E00B">
                  <wp:extent cx="682579" cy="684000"/>
                  <wp:effectExtent l="0" t="0" r="3810" b="1905"/>
                  <wp:docPr id="7" name="Image 7">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hlinkClick r:id="rId54"/>
                          </pic:cNvPr>
                          <pic:cNvPicPr/>
                        </pic:nvPicPr>
                        <pic:blipFill rotWithShape="1">
                          <a:blip r:embed="rId55" cstate="print">
                            <a:extLst>
                              <a:ext uri="{28A0092B-C50C-407E-A947-70E740481C1C}">
                                <a14:useLocalDpi xmlns:a14="http://schemas.microsoft.com/office/drawing/2010/main" val="0"/>
                              </a:ext>
                            </a:extLst>
                          </a:blip>
                          <a:srcRect l="4207" t="4589" r="3817" b="3244"/>
                          <a:stretch/>
                        </pic:blipFill>
                        <pic:spPr bwMode="auto">
                          <a:xfrm>
                            <a:off x="0" y="0"/>
                            <a:ext cx="682579" cy="684000"/>
                          </a:xfrm>
                          <a:prstGeom prst="rect">
                            <a:avLst/>
                          </a:prstGeom>
                          <a:ln>
                            <a:noFill/>
                          </a:ln>
                          <a:extLst>
                            <a:ext uri="{53640926-AAD7-44D8-BBD7-CCE9431645EC}">
                              <a14:shadowObscured xmlns:a14="http://schemas.microsoft.com/office/drawing/2010/main"/>
                            </a:ext>
                          </a:extLst>
                        </pic:spPr>
                      </pic:pic>
                    </a:graphicData>
                  </a:graphic>
                </wp:inline>
              </w:drawing>
            </w:r>
          </w:p>
        </w:tc>
      </w:tr>
      <w:tr w:rsidR="00A7331D" w:rsidRPr="009D6DD9" w14:paraId="6FF43C46" w14:textId="77777777" w:rsidTr="00C617B7">
        <w:trPr>
          <w:trHeight w:val="1392"/>
        </w:trPr>
        <w:tc>
          <w:tcPr>
            <w:tcW w:w="7655" w:type="dxa"/>
          </w:tcPr>
          <w:p w14:paraId="10141621" w14:textId="77777777" w:rsidR="00A7331D" w:rsidRPr="0069039E" w:rsidRDefault="00206FBB" w:rsidP="00C6480B">
            <w:pPr>
              <w:pStyle w:val="Sansinterligne"/>
              <w:spacing w:line="276" w:lineRule="auto"/>
              <w:ind w:left="177"/>
              <w:jc w:val="both"/>
              <w:rPr>
                <w:sz w:val="21"/>
              </w:rPr>
            </w:pPr>
            <w:r>
              <w:rPr>
                <w:sz w:val="21"/>
              </w:rPr>
              <w:t xml:space="preserve">Fini Google Traduction ! </w:t>
            </w:r>
            <w:proofErr w:type="spellStart"/>
            <w:r w:rsidR="00A7331D">
              <w:rPr>
                <w:sz w:val="21"/>
              </w:rPr>
              <w:t>DeepL</w:t>
            </w:r>
            <w:proofErr w:type="spellEnd"/>
            <w:r w:rsidR="00A7331D">
              <w:rPr>
                <w:sz w:val="21"/>
              </w:rPr>
              <w:t xml:space="preserve"> est un logiciel de traduction très puissant, qui propose une version gratuite en ligne. S’il ne permet pas de produire des traductions abouties pour une publication ou une communication scientifique – il serait dangereux de l’utiliser tel quel pour un rendu dans un cours de langue, par exemple – il peut vous aider à lire de brefs textes écrits dans une langue que vous ne maîtrisez pas. Ici, entraînez-vous en passant dans </w:t>
            </w:r>
            <w:proofErr w:type="spellStart"/>
            <w:r w:rsidR="00A7331D">
              <w:rPr>
                <w:sz w:val="21"/>
              </w:rPr>
              <w:t>DeepL</w:t>
            </w:r>
            <w:proofErr w:type="spellEnd"/>
            <w:r w:rsidR="00A7331D">
              <w:rPr>
                <w:sz w:val="21"/>
              </w:rPr>
              <w:t xml:space="preserve"> le texte de la notice biographique sur Marino Cavalli. </w:t>
            </w:r>
          </w:p>
        </w:tc>
        <w:tc>
          <w:tcPr>
            <w:tcW w:w="1701" w:type="dxa"/>
            <w:vMerge/>
          </w:tcPr>
          <w:p w14:paraId="6DA1B6F1" w14:textId="77777777" w:rsidR="00A7331D" w:rsidRPr="009D6DD9" w:rsidRDefault="00A7331D" w:rsidP="00C6480B">
            <w:pPr>
              <w:pStyle w:val="Sansinterligne"/>
            </w:pPr>
          </w:p>
        </w:tc>
      </w:tr>
    </w:tbl>
    <w:p w14:paraId="07B94C09" w14:textId="77777777" w:rsidR="00CA6E07" w:rsidRDefault="00CA6E07" w:rsidP="00206FBB">
      <w:pPr>
        <w:pStyle w:val="Titre1"/>
        <w:spacing w:before="240"/>
      </w:pPr>
    </w:p>
    <w:p w14:paraId="6AA69975" w14:textId="77777777" w:rsidR="0000002D" w:rsidRPr="001E3829" w:rsidRDefault="0064443C" w:rsidP="00206FBB">
      <w:pPr>
        <w:pStyle w:val="Titre1"/>
        <w:spacing w:before="240"/>
        <w:rPr>
          <w:b w:val="0"/>
        </w:rPr>
      </w:pPr>
      <w:r w:rsidRPr="0064443C">
        <w:sym w:font="Wingdings" w:char="F026"/>
      </w:r>
      <w:r w:rsidRPr="0064443C">
        <w:t xml:space="preserve"> </w:t>
      </w:r>
      <w:r w:rsidR="0000002D" w:rsidRPr="0064443C">
        <w:t>Bibliographie sélective</w:t>
      </w:r>
      <w:r w:rsidR="001E3829">
        <w:rPr>
          <w:b w:val="0"/>
        </w:rPr>
        <w:t xml:space="preserve"> (disponible sur Moodle)</w:t>
      </w:r>
    </w:p>
    <w:p w14:paraId="145A1372" w14:textId="77777777" w:rsidR="0000002D" w:rsidRDefault="003D5A2C" w:rsidP="00C14B65">
      <w:pPr>
        <w:pStyle w:val="Sansinterligne"/>
        <w:spacing w:before="120" w:after="120" w:line="276" w:lineRule="auto"/>
        <w:rPr>
          <w:sz w:val="21"/>
          <w:szCs w:val="21"/>
        </w:rPr>
      </w:pPr>
      <w:proofErr w:type="spellStart"/>
      <w:r w:rsidRPr="00617E25">
        <w:rPr>
          <w:smallCaps/>
          <w:sz w:val="21"/>
          <w:szCs w:val="21"/>
        </w:rPr>
        <w:t>Brioist</w:t>
      </w:r>
      <w:proofErr w:type="spellEnd"/>
      <w:r w:rsidR="0064443C" w:rsidRPr="00617E25">
        <w:rPr>
          <w:smallCaps/>
          <w:sz w:val="21"/>
          <w:szCs w:val="21"/>
        </w:rPr>
        <w:t xml:space="preserve">, </w:t>
      </w:r>
      <w:r w:rsidRPr="00617E25">
        <w:rPr>
          <w:sz w:val="21"/>
          <w:szCs w:val="21"/>
        </w:rPr>
        <w:t>Pascal</w:t>
      </w:r>
      <w:r w:rsidR="0064443C" w:rsidRPr="00617E25">
        <w:rPr>
          <w:sz w:val="21"/>
          <w:szCs w:val="21"/>
        </w:rPr>
        <w:t xml:space="preserve">, </w:t>
      </w:r>
      <w:r w:rsidR="0064443C" w:rsidRPr="00617E25">
        <w:rPr>
          <w:i/>
          <w:sz w:val="21"/>
          <w:szCs w:val="21"/>
        </w:rPr>
        <w:t>François I</w:t>
      </w:r>
      <w:r w:rsidR="0064443C" w:rsidRPr="00617E25">
        <w:rPr>
          <w:i/>
          <w:sz w:val="21"/>
          <w:szCs w:val="21"/>
          <w:vertAlign w:val="superscript"/>
        </w:rPr>
        <w:t>er</w:t>
      </w:r>
      <w:r w:rsidR="0064443C" w:rsidRPr="00617E25">
        <w:rPr>
          <w:sz w:val="21"/>
          <w:szCs w:val="21"/>
        </w:rPr>
        <w:t xml:space="preserve">, </w:t>
      </w:r>
      <w:r w:rsidRPr="00617E25">
        <w:rPr>
          <w:sz w:val="21"/>
          <w:szCs w:val="21"/>
        </w:rPr>
        <w:t xml:space="preserve">Paris, Presses universitaires de France, 2020, notamment p. 131-137. </w:t>
      </w:r>
    </w:p>
    <w:p w14:paraId="5EA8AC24" w14:textId="77777777" w:rsidR="007C0158" w:rsidRPr="00617E25" w:rsidRDefault="007C0158" w:rsidP="00C14B65">
      <w:pPr>
        <w:pStyle w:val="Sansinterligne"/>
        <w:spacing w:before="120" w:after="120" w:line="276" w:lineRule="auto"/>
        <w:rPr>
          <w:sz w:val="21"/>
          <w:szCs w:val="21"/>
        </w:rPr>
      </w:pPr>
      <w:r w:rsidRPr="00617E25">
        <w:rPr>
          <w:smallCaps/>
          <w:sz w:val="21"/>
          <w:szCs w:val="21"/>
        </w:rPr>
        <w:t>Cornette</w:t>
      </w:r>
      <w:r w:rsidRPr="00617E25">
        <w:rPr>
          <w:sz w:val="21"/>
          <w:szCs w:val="21"/>
        </w:rPr>
        <w:t xml:space="preserve">, Joël (dir.), </w:t>
      </w:r>
      <w:r w:rsidRPr="00617E25">
        <w:rPr>
          <w:i/>
          <w:sz w:val="21"/>
          <w:szCs w:val="21"/>
        </w:rPr>
        <w:t>Atlas de l’histoire de France</w:t>
      </w:r>
      <w:r w:rsidRPr="00617E25">
        <w:rPr>
          <w:sz w:val="21"/>
          <w:szCs w:val="21"/>
        </w:rPr>
        <w:t>, Paris, Belin, 2016, p. 100</w:t>
      </w:r>
      <w:r>
        <w:rPr>
          <w:sz w:val="21"/>
          <w:szCs w:val="21"/>
        </w:rPr>
        <w:t xml:space="preserve"> et </w:t>
      </w:r>
      <w:r w:rsidRPr="00617E25">
        <w:rPr>
          <w:sz w:val="21"/>
          <w:szCs w:val="21"/>
        </w:rPr>
        <w:t>107</w:t>
      </w:r>
      <w:r>
        <w:rPr>
          <w:sz w:val="21"/>
          <w:szCs w:val="21"/>
        </w:rPr>
        <w:t xml:space="preserve"> (les cartes sont dans la leçon)</w:t>
      </w:r>
      <w:r w:rsidRPr="00617E25">
        <w:rPr>
          <w:sz w:val="21"/>
          <w:szCs w:val="21"/>
        </w:rPr>
        <w:t xml:space="preserve">. </w:t>
      </w:r>
    </w:p>
    <w:p w14:paraId="07E0D5F8" w14:textId="77777777" w:rsidR="00ED597C" w:rsidRPr="00617E25" w:rsidRDefault="00ED597C" w:rsidP="00C14B65">
      <w:pPr>
        <w:pStyle w:val="Sansinterligne"/>
        <w:spacing w:before="120" w:after="120" w:line="276" w:lineRule="auto"/>
        <w:rPr>
          <w:sz w:val="21"/>
          <w:szCs w:val="21"/>
        </w:rPr>
      </w:pPr>
      <w:r w:rsidRPr="00617E25">
        <w:rPr>
          <w:smallCaps/>
          <w:sz w:val="21"/>
          <w:szCs w:val="21"/>
        </w:rPr>
        <w:t>D’</w:t>
      </w:r>
      <w:proofErr w:type="spellStart"/>
      <w:r w:rsidRPr="00617E25">
        <w:rPr>
          <w:smallCaps/>
          <w:sz w:val="21"/>
          <w:szCs w:val="21"/>
        </w:rPr>
        <w:t>Amico</w:t>
      </w:r>
      <w:proofErr w:type="spellEnd"/>
      <w:r w:rsidRPr="00617E25">
        <w:rPr>
          <w:sz w:val="21"/>
          <w:szCs w:val="21"/>
        </w:rPr>
        <w:t xml:space="preserve">, Juan Carlos, </w:t>
      </w:r>
      <w:proofErr w:type="spellStart"/>
      <w:r w:rsidRPr="00617E25">
        <w:rPr>
          <w:smallCaps/>
          <w:sz w:val="21"/>
          <w:szCs w:val="21"/>
        </w:rPr>
        <w:t>Fournel</w:t>
      </w:r>
      <w:proofErr w:type="spellEnd"/>
      <w:r w:rsidRPr="00617E25">
        <w:rPr>
          <w:sz w:val="21"/>
          <w:szCs w:val="21"/>
        </w:rPr>
        <w:t xml:space="preserve">, Jean-Louis (dir.), </w:t>
      </w:r>
      <w:r w:rsidRPr="00617E25">
        <w:rPr>
          <w:i/>
          <w:sz w:val="21"/>
          <w:szCs w:val="21"/>
        </w:rPr>
        <w:t>François I</w:t>
      </w:r>
      <w:r w:rsidRPr="00617E25">
        <w:rPr>
          <w:i/>
          <w:sz w:val="21"/>
          <w:szCs w:val="21"/>
          <w:vertAlign w:val="superscript"/>
        </w:rPr>
        <w:t>er</w:t>
      </w:r>
      <w:r w:rsidRPr="00617E25">
        <w:rPr>
          <w:i/>
          <w:sz w:val="21"/>
          <w:szCs w:val="21"/>
        </w:rPr>
        <w:t xml:space="preserve"> et l’espace politique italien. États, domaines et territoires</w:t>
      </w:r>
      <w:r w:rsidRPr="00617E25">
        <w:rPr>
          <w:sz w:val="21"/>
          <w:szCs w:val="21"/>
        </w:rPr>
        <w:t xml:space="preserve">, Rome, École française de Rome, 2018, p. 1-9. </w:t>
      </w:r>
    </w:p>
    <w:p w14:paraId="577D4C5B" w14:textId="77777777" w:rsidR="0064443C" w:rsidRPr="00617E25" w:rsidRDefault="0064443C" w:rsidP="00C14B65">
      <w:pPr>
        <w:pStyle w:val="Sansinterligne"/>
        <w:spacing w:before="120" w:after="120" w:line="276" w:lineRule="auto"/>
        <w:rPr>
          <w:sz w:val="21"/>
          <w:szCs w:val="21"/>
        </w:rPr>
      </w:pPr>
      <w:r w:rsidRPr="00617E25">
        <w:rPr>
          <w:sz w:val="21"/>
          <w:szCs w:val="21"/>
        </w:rPr>
        <w:t>**</w:t>
      </w:r>
      <w:r w:rsidR="009A7AAA" w:rsidRPr="00617E25">
        <w:rPr>
          <w:sz w:val="21"/>
          <w:szCs w:val="21"/>
        </w:rPr>
        <w:t>*</w:t>
      </w:r>
      <w:r w:rsidRPr="00617E25">
        <w:rPr>
          <w:smallCaps/>
          <w:sz w:val="21"/>
          <w:szCs w:val="21"/>
        </w:rPr>
        <w:t>Michon</w:t>
      </w:r>
      <w:r w:rsidRPr="00617E25">
        <w:rPr>
          <w:sz w:val="21"/>
          <w:szCs w:val="21"/>
        </w:rPr>
        <w:t xml:space="preserve">, Cédric (dir.), </w:t>
      </w:r>
      <w:r w:rsidRPr="00617E25">
        <w:rPr>
          <w:i/>
          <w:sz w:val="21"/>
          <w:szCs w:val="21"/>
        </w:rPr>
        <w:t>Les Conseillers de François I</w:t>
      </w:r>
      <w:r w:rsidRPr="00617E25">
        <w:rPr>
          <w:i/>
          <w:sz w:val="21"/>
          <w:szCs w:val="21"/>
          <w:vertAlign w:val="superscript"/>
        </w:rPr>
        <w:t>er</w:t>
      </w:r>
      <w:r w:rsidRPr="00617E25">
        <w:rPr>
          <w:sz w:val="21"/>
          <w:szCs w:val="21"/>
        </w:rPr>
        <w:t xml:space="preserve">, Rennes, Presses universitaires de Rennes, </w:t>
      </w:r>
      <w:r w:rsidRPr="00617E25">
        <w:rPr>
          <w:color w:val="000000" w:themeColor="text1"/>
          <w:sz w:val="21"/>
          <w:szCs w:val="21"/>
        </w:rPr>
        <w:t xml:space="preserve">2011, </w:t>
      </w:r>
      <w:r w:rsidRPr="00617E25">
        <w:rPr>
          <w:rFonts w:cs="Times New Roman"/>
          <w:color w:val="000000" w:themeColor="text1"/>
          <w:sz w:val="21"/>
          <w:szCs w:val="21"/>
        </w:rPr>
        <w:t>[</w:t>
      </w:r>
      <w:hyperlink r:id="rId56" w:history="1">
        <w:r w:rsidRPr="00617E25">
          <w:rPr>
            <w:rStyle w:val="Lienhypertexte"/>
            <w:color w:val="000000" w:themeColor="text1"/>
            <w:sz w:val="21"/>
            <w:szCs w:val="21"/>
          </w:rPr>
          <w:t>En ligne</w:t>
        </w:r>
      </w:hyperlink>
      <w:r w:rsidRPr="00617E25">
        <w:rPr>
          <w:rFonts w:cs="Times New Roman"/>
          <w:color w:val="000000" w:themeColor="text1"/>
          <w:sz w:val="21"/>
          <w:szCs w:val="21"/>
        </w:rPr>
        <w:t>]</w:t>
      </w:r>
      <w:r w:rsidRPr="00617E25">
        <w:rPr>
          <w:color w:val="000000" w:themeColor="text1"/>
          <w:sz w:val="21"/>
          <w:szCs w:val="21"/>
        </w:rPr>
        <w:t xml:space="preserve">. </w:t>
      </w:r>
    </w:p>
    <w:p w14:paraId="7CE720E9" w14:textId="77777777" w:rsidR="009A7AAA" w:rsidRDefault="009A7AAA" w:rsidP="00A26541">
      <w:pPr>
        <w:pStyle w:val="Titre1"/>
        <w:spacing w:before="360"/>
      </w:pPr>
      <w:r>
        <w:sym w:font="Wingdings" w:char="F024"/>
      </w:r>
      <w:r>
        <w:t xml:space="preserve"> On prépare l’évaluation</w:t>
      </w:r>
    </w:p>
    <w:p w14:paraId="49E69363" w14:textId="77777777" w:rsidR="003D5A2C" w:rsidRDefault="000914AE" w:rsidP="000914AE">
      <w:pPr>
        <w:pStyle w:val="Sansinterligne"/>
        <w:spacing w:before="100" w:after="100" w:line="276" w:lineRule="auto"/>
        <w:jc w:val="both"/>
        <w:rPr>
          <w:sz w:val="21"/>
          <w:szCs w:val="21"/>
        </w:rPr>
      </w:pPr>
      <w:r>
        <w:rPr>
          <w:b/>
          <w:sz w:val="21"/>
          <w:szCs w:val="21"/>
        </w:rPr>
        <w:t>Comprendre la source</w:t>
      </w:r>
      <w:r w:rsidR="003D5A2C">
        <w:rPr>
          <w:b/>
          <w:sz w:val="21"/>
          <w:szCs w:val="21"/>
        </w:rPr>
        <w:t> </w:t>
      </w:r>
      <w:r w:rsidR="003D5A2C" w:rsidRPr="004D6E6B">
        <w:rPr>
          <w:sz w:val="21"/>
          <w:szCs w:val="21"/>
        </w:rPr>
        <w:t xml:space="preserve">: </w:t>
      </w:r>
      <w:r w:rsidR="003D5A2C">
        <w:rPr>
          <w:sz w:val="21"/>
          <w:szCs w:val="21"/>
        </w:rPr>
        <w:t xml:space="preserve">n’hésitez pas à vérifier sur le CNRTL pour tous les termes que vous ne comprendriez pas ou pour lesquels vous auriez un doute ; soyez </w:t>
      </w:r>
      <w:proofErr w:type="spellStart"/>
      <w:r w:rsidR="003D5A2C">
        <w:rPr>
          <w:sz w:val="21"/>
          <w:szCs w:val="21"/>
        </w:rPr>
        <w:t>sûr-es</w:t>
      </w:r>
      <w:proofErr w:type="spellEnd"/>
      <w:r w:rsidR="003D5A2C">
        <w:rPr>
          <w:sz w:val="21"/>
          <w:szCs w:val="21"/>
        </w:rPr>
        <w:t xml:space="preserve"> d’avoir identifié tous les acteurs cités, que ce soit par leur nom ou par leur fonction ;</w:t>
      </w:r>
      <w:r w:rsidR="005058D9">
        <w:rPr>
          <w:sz w:val="21"/>
          <w:szCs w:val="21"/>
        </w:rPr>
        <w:t xml:space="preserve"> c’est la même chose pour les territoires </w:t>
      </w:r>
      <w:r w:rsidR="00D41550">
        <w:rPr>
          <w:sz w:val="21"/>
          <w:szCs w:val="21"/>
        </w:rPr>
        <w:t xml:space="preserve">et les événements. </w:t>
      </w:r>
    </w:p>
    <w:p w14:paraId="2DB129D6" w14:textId="77777777" w:rsidR="00D41550" w:rsidRPr="00D73DAA" w:rsidRDefault="00D41550" w:rsidP="00D73DAA">
      <w:pPr>
        <w:pStyle w:val="Sansinterligne"/>
        <w:spacing w:before="100" w:after="100" w:line="276" w:lineRule="auto"/>
        <w:jc w:val="both"/>
        <w:rPr>
          <w:sz w:val="21"/>
          <w:szCs w:val="21"/>
        </w:rPr>
      </w:pPr>
      <w:r>
        <w:rPr>
          <w:b/>
          <w:sz w:val="21"/>
          <w:szCs w:val="21"/>
        </w:rPr>
        <w:t>Utiliser la bibliographie</w:t>
      </w:r>
      <w:r>
        <w:rPr>
          <w:sz w:val="21"/>
          <w:szCs w:val="21"/>
        </w:rPr>
        <w:t xml:space="preserve"> : </w:t>
      </w:r>
      <w:r w:rsidR="00D73DAA">
        <w:rPr>
          <w:sz w:val="21"/>
          <w:szCs w:val="21"/>
        </w:rPr>
        <w:t xml:space="preserve">pour commenter ce texte à l’aide de connaissances externes solides, vous aurez besoin de vous appuyer sur les ressources bibliographiques disponibles sur Moodle. Le but est d’y trouver des éléments choisis pour expliquer le texte – tout le texte et rien que le texte – plutôt que des choses qui ne lui seraient pas liées. Vous trouverez rarement dans la bibliographie les hypothèses à apporter à votre commentaire – c’est </w:t>
      </w:r>
      <w:r w:rsidR="00D73DAA">
        <w:rPr>
          <w:i/>
          <w:sz w:val="21"/>
          <w:szCs w:val="21"/>
        </w:rPr>
        <w:t>votre</w:t>
      </w:r>
      <w:r w:rsidR="00D73DAA">
        <w:rPr>
          <w:sz w:val="21"/>
          <w:szCs w:val="21"/>
        </w:rPr>
        <w:t xml:space="preserve"> travail –. Vous pouvez en revanche sourcer vos connaissances dans votre copie en mentionnant la publication dont vous tirez une information précise (le format Auteur-Date, ici, par exemple, « </w:t>
      </w:r>
      <w:proofErr w:type="spellStart"/>
      <w:r w:rsidR="00D73DAA">
        <w:rPr>
          <w:sz w:val="21"/>
          <w:szCs w:val="21"/>
        </w:rPr>
        <w:t>Brioist</w:t>
      </w:r>
      <w:proofErr w:type="spellEnd"/>
      <w:r w:rsidR="00D73DAA">
        <w:rPr>
          <w:sz w:val="21"/>
          <w:szCs w:val="21"/>
        </w:rPr>
        <w:t xml:space="preserve"> 2020 » permet de le faire facilement). </w:t>
      </w:r>
    </w:p>
    <w:p w14:paraId="009ECDAA" w14:textId="77777777" w:rsidR="009A7AAA" w:rsidRPr="003B2122" w:rsidRDefault="009A7AAA" w:rsidP="003B2122">
      <w:pPr>
        <w:pStyle w:val="Sansinterligne"/>
        <w:spacing w:before="100" w:after="100" w:line="276" w:lineRule="auto"/>
        <w:jc w:val="both"/>
        <w:rPr>
          <w:sz w:val="21"/>
          <w:szCs w:val="21"/>
        </w:rPr>
      </w:pPr>
      <w:r>
        <w:rPr>
          <w:b/>
          <w:sz w:val="21"/>
          <w:szCs w:val="21"/>
        </w:rPr>
        <w:t>Dater une source </w:t>
      </w:r>
      <w:r w:rsidRPr="004D6E6B">
        <w:rPr>
          <w:sz w:val="21"/>
          <w:szCs w:val="21"/>
        </w:rPr>
        <w:t>:</w:t>
      </w:r>
      <w:r>
        <w:rPr>
          <w:b/>
          <w:sz w:val="21"/>
          <w:szCs w:val="21"/>
        </w:rPr>
        <w:t xml:space="preserve"> </w:t>
      </w:r>
      <w:r w:rsidR="003B2122">
        <w:rPr>
          <w:sz w:val="21"/>
          <w:szCs w:val="21"/>
        </w:rPr>
        <w:t xml:space="preserve">pour dater une source, on peut s’appuyer sur des éléments internes (une indication qui permet de calculer une date, comme l’âge d’une personne, ou bien un événement, ou encore une signature) ou des éléments externes (la notice biographique de l’auteur, en l’occurrence). La confrontation de ces éléments peut parfois montrer des incohérences, qu’il faut essayer d’expliquer. </w:t>
      </w:r>
    </w:p>
    <w:p w14:paraId="67449AD8" w14:textId="77777777" w:rsidR="00647699" w:rsidRPr="003A7DB5" w:rsidRDefault="009A7AAA" w:rsidP="003A7DB5">
      <w:pPr>
        <w:pStyle w:val="Sansinterligne"/>
        <w:spacing w:before="100" w:after="100" w:line="276" w:lineRule="auto"/>
        <w:jc w:val="both"/>
        <w:rPr>
          <w:sz w:val="21"/>
          <w:szCs w:val="21"/>
        </w:rPr>
      </w:pPr>
      <w:r>
        <w:rPr>
          <w:b/>
          <w:sz w:val="21"/>
          <w:szCs w:val="21"/>
        </w:rPr>
        <w:t>Faire des choix dans ce qu’il faut dire </w:t>
      </w:r>
      <w:r>
        <w:rPr>
          <w:sz w:val="21"/>
          <w:szCs w:val="21"/>
        </w:rPr>
        <w:t xml:space="preserve">: </w:t>
      </w:r>
      <w:r w:rsidR="003B2122">
        <w:rPr>
          <w:sz w:val="21"/>
          <w:szCs w:val="21"/>
        </w:rPr>
        <w:t xml:space="preserve">les sources sont souvent très riches quand on s’y penche avec minutie et pour objectif de tout expliquer. Or, en examen et donc en temps limité, il faut faire des choix : vous ne pourrez pas tout dire. Il faut 1/ hiérarchiser les éléments ; 2/ faire en sorte de parler de tout, mais pas avec le même degré de profondeur dans les explications. Ce travail intellectuel difficile est la clé de voûte d’une excellente copie. </w:t>
      </w:r>
    </w:p>
    <w:p w14:paraId="4DF53120" w14:textId="77777777" w:rsidR="00F77E98" w:rsidRDefault="00F77E98" w:rsidP="00620E44"/>
    <w:p w14:paraId="526A8A11" w14:textId="77777777" w:rsidR="00F77E98" w:rsidRDefault="00F77E98" w:rsidP="00620E44">
      <w:pPr>
        <w:sectPr w:rsidR="00F77E98" w:rsidSect="00A77E43">
          <w:type w:val="oddPage"/>
          <w:pgSz w:w="11906" w:h="16838"/>
          <w:pgMar w:top="964" w:right="1304" w:bottom="1134" w:left="1304" w:header="709" w:footer="709" w:gutter="0"/>
          <w:cols w:space="708"/>
          <w:docGrid w:linePitch="360"/>
        </w:sectPr>
      </w:pPr>
    </w:p>
    <w:p w14:paraId="5C3F882A" w14:textId="77777777" w:rsidR="00C6480B" w:rsidRPr="009D6DD9" w:rsidRDefault="00C6480B" w:rsidP="00C6480B">
      <w:pPr>
        <w:pStyle w:val="Titre"/>
      </w:pPr>
      <w:bookmarkStart w:id="11" w:name="_Toc185425571"/>
      <w:r w:rsidRPr="009D6DD9">
        <w:lastRenderedPageBreak/>
        <w:t xml:space="preserve">Séance </w:t>
      </w:r>
      <w:r>
        <w:t>9</w:t>
      </w:r>
      <w:r w:rsidRPr="009D6DD9">
        <w:br/>
      </w:r>
      <w:r w:rsidR="00C85FC2">
        <w:rPr>
          <w:b/>
        </w:rPr>
        <w:t>Prendre un peu de hauteur : la confrontation des sources</w:t>
      </w:r>
      <w:bookmarkEnd w:id="11"/>
      <w:r w:rsidR="00C85FC2">
        <w:rPr>
          <w:b/>
        </w:rPr>
        <w:t xml:space="preserve"> </w:t>
      </w:r>
      <w:r>
        <w:rPr>
          <w:b/>
        </w:rPr>
        <w:t xml:space="preserve"> </w:t>
      </w:r>
      <w:r>
        <w:t xml:space="preserve"> </w:t>
      </w:r>
      <w:r w:rsidRPr="009D6DD9">
        <w:t xml:space="preserve"> </w:t>
      </w:r>
    </w:p>
    <w:p w14:paraId="0C5792DF" w14:textId="77777777" w:rsidR="00C6480B" w:rsidRDefault="00C6480B" w:rsidP="00C6480B">
      <w:pPr>
        <w:pStyle w:val="Titre1"/>
      </w:pPr>
      <w:r w:rsidRPr="001876DF">
        <w:t xml:space="preserve">Document 1. </w:t>
      </w:r>
      <w:r w:rsidR="0009550F">
        <w:t xml:space="preserve">Lettres royales à l’encontre des ouvriers-imprimeurs lyonnais (1540) </w:t>
      </w:r>
    </w:p>
    <w:p w14:paraId="16AA1FCC" w14:textId="77777777" w:rsidR="0082363C" w:rsidRDefault="0009550F" w:rsidP="0082363C">
      <w:r>
        <w:t xml:space="preserve">Notre procureur en notre sénéchaussée de Lyon nous a fait dire et remontrer que puis quatre ou cinq mois en ça l’art et train d’imprimerie serait cessé et discontinué en notre ville de Lyon, en laquelle auparavant ledit train y était le plus grand et le plus beau qui fût en notre royaume, et auquel train et d’icelui plusieurs pauvres gens et compagnons gagnaient honnêtement leurs vies, qui à présent sont contraints à mendier, au grand détriment de </w:t>
      </w:r>
      <w:r>
        <w:rPr>
          <w:rFonts w:ascii="Times New Roman" w:hAnsi="Times New Roman" w:cs="Times New Roman"/>
        </w:rPr>
        <w:t>[</w:t>
      </w:r>
      <w:r>
        <w:t>...</w:t>
      </w:r>
      <w:r>
        <w:rPr>
          <w:rFonts w:ascii="Times New Roman" w:hAnsi="Times New Roman" w:cs="Times New Roman"/>
        </w:rPr>
        <w:t>]</w:t>
      </w:r>
      <w:r>
        <w:t xml:space="preserve"> </w:t>
      </w:r>
      <w:proofErr w:type="spellStart"/>
      <w:r>
        <w:t>notredite</w:t>
      </w:r>
      <w:proofErr w:type="spellEnd"/>
      <w:r>
        <w:t xml:space="preserve"> ville, procédant ladite discontinuation par la coulpe et malice d’aucuns compagnons mal </w:t>
      </w:r>
      <w:proofErr w:type="spellStart"/>
      <w:r>
        <w:t>vivans</w:t>
      </w:r>
      <w:proofErr w:type="spellEnd"/>
      <w:r>
        <w:t xml:space="preserve"> qui se sont </w:t>
      </w:r>
      <w:proofErr w:type="spellStart"/>
      <w:r>
        <w:t>monopolés</w:t>
      </w:r>
      <w:proofErr w:type="spellEnd"/>
      <w:r>
        <w:t xml:space="preserve"> et fait entre eux promesses et serments illicites et </w:t>
      </w:r>
      <w:proofErr w:type="spellStart"/>
      <w:r>
        <w:t>monopoleux</w:t>
      </w:r>
      <w:proofErr w:type="spellEnd"/>
      <w:r>
        <w:t xml:space="preserve">, et entre autres que le premier qui cesserait tous les autres cesseraient, </w:t>
      </w:r>
      <w:proofErr w:type="spellStart"/>
      <w:r>
        <w:t>aultrement</w:t>
      </w:r>
      <w:proofErr w:type="spellEnd"/>
      <w:r>
        <w:t xml:space="preserve"> seraient battus et mutilés et jetés de leur compagnie ; et auraient fait entre eux </w:t>
      </w:r>
      <w:r>
        <w:rPr>
          <w:rFonts w:ascii="Times New Roman" w:hAnsi="Times New Roman" w:cs="Times New Roman"/>
        </w:rPr>
        <w:t>[</w:t>
      </w:r>
      <w:r>
        <w:t>...</w:t>
      </w:r>
      <w:r>
        <w:rPr>
          <w:rFonts w:ascii="Times New Roman" w:hAnsi="Times New Roman" w:cs="Times New Roman"/>
        </w:rPr>
        <w:t>]</w:t>
      </w:r>
      <w:r>
        <w:t xml:space="preserve"> comme si étaient gens de nos guerres et ordonnances, portants épées et bâtons </w:t>
      </w:r>
      <w:proofErr w:type="spellStart"/>
      <w:r>
        <w:t>invasibles</w:t>
      </w:r>
      <w:proofErr w:type="spellEnd"/>
      <w:r>
        <w:t xml:space="preserve"> de jour et nuit en ladite ville contre nos statuts et édits, allant en bandes et eux tenant par grosses sectes et nombre, en telle force que les sergents et officiers de justice ne peuvent jouir pour exécuter contre eux les ajournements personnels et prise de corps décrétées par justice ; et si ont battu et mutilé les prévôts ou sergents de notre justice ordinaire, sans que punition en ait pu être faite, </w:t>
      </w:r>
      <w:r>
        <w:rPr>
          <w:rFonts w:ascii="Times New Roman" w:hAnsi="Times New Roman" w:cs="Times New Roman"/>
        </w:rPr>
        <w:t>[</w:t>
      </w:r>
      <w:r>
        <w:t>...</w:t>
      </w:r>
      <w:r>
        <w:rPr>
          <w:rFonts w:ascii="Times New Roman" w:hAnsi="Times New Roman" w:cs="Times New Roman"/>
        </w:rPr>
        <w:t>]</w:t>
      </w:r>
      <w:r>
        <w:t xml:space="preserve">. </w:t>
      </w:r>
    </w:p>
    <w:p w14:paraId="1792A416" w14:textId="77777777" w:rsidR="0009550F" w:rsidRDefault="0009550F" w:rsidP="0082363C">
      <w:r>
        <w:t xml:space="preserve">Et combien que vous, avec l’avis des conseillers du consulat et aucuns notables personnages savants de ladite ville, pour donner ordre de vivre entre les maîtres imprimeurs et lesdits compagnons, après avoir ouï et entendu lesdits maîtres et compagnons, auriez fait ordonnance et sentence du dernier jour de juillet dernier passé, laquelle nous auriez envoyée et à </w:t>
      </w:r>
      <w:proofErr w:type="spellStart"/>
      <w:r>
        <w:t>nostre</w:t>
      </w:r>
      <w:proofErr w:type="spellEnd"/>
      <w:r>
        <w:t xml:space="preserve"> conseil privé, et différé l’exécution d’icelles </w:t>
      </w:r>
      <w:proofErr w:type="spellStart"/>
      <w:r>
        <w:t>jussues</w:t>
      </w:r>
      <w:proofErr w:type="spellEnd"/>
      <w:r>
        <w:t xml:space="preserve"> en auriez su notre vouloir et intention. </w:t>
      </w:r>
    </w:p>
    <w:p w14:paraId="6FADA4B3" w14:textId="77777777" w:rsidR="0009550F" w:rsidRDefault="0009550F" w:rsidP="0009550F">
      <w:r>
        <w:rPr>
          <w:noProof/>
        </w:rPr>
        <w:drawing>
          <wp:anchor distT="0" distB="0" distL="114300" distR="114300" simplePos="0" relativeHeight="251671552" behindDoc="0" locked="0" layoutInCell="1" allowOverlap="1" wp14:anchorId="245FBA00" wp14:editId="076F47BA">
            <wp:simplePos x="0" y="0"/>
            <wp:positionH relativeFrom="column">
              <wp:posOffset>5241290</wp:posOffset>
            </wp:positionH>
            <wp:positionV relativeFrom="paragraph">
              <wp:posOffset>2607945</wp:posOffset>
            </wp:positionV>
            <wp:extent cx="643996" cy="648000"/>
            <wp:effectExtent l="0" t="0" r="3810" b="0"/>
            <wp:wrapNone/>
            <wp:docPr id="32" name="Image 32">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a:hlinkClick r:id="rId57"/>
                    </pic:cNvPr>
                    <pic:cNvPicPr/>
                  </pic:nvPicPr>
                  <pic:blipFill rotWithShape="1">
                    <a:blip r:embed="rId58" cstate="print">
                      <a:extLst>
                        <a:ext uri="{28A0092B-C50C-407E-A947-70E740481C1C}">
                          <a14:useLocalDpi xmlns:a14="http://schemas.microsoft.com/office/drawing/2010/main" val="0"/>
                        </a:ext>
                      </a:extLst>
                    </a:blip>
                    <a:srcRect l="4259" t="4259" r="3980" b="3398"/>
                    <a:stretch/>
                  </pic:blipFill>
                  <pic:spPr bwMode="auto">
                    <a:xfrm>
                      <a:off x="0" y="0"/>
                      <a:ext cx="643996" cy="6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Savoir faisons que nous, désirants ledit train d’imprimerie être repris, entretenu et continué en </w:t>
      </w:r>
      <w:proofErr w:type="spellStart"/>
      <w:r>
        <w:t>nostredite</w:t>
      </w:r>
      <w:proofErr w:type="spellEnd"/>
      <w:r>
        <w:t xml:space="preserve"> ville de Lyon, à ce qu’il ne soit transféré ailleurs, mêmement hors </w:t>
      </w:r>
      <w:proofErr w:type="spellStart"/>
      <w:r>
        <w:t>notredit</w:t>
      </w:r>
      <w:proofErr w:type="spellEnd"/>
      <w:r>
        <w:t xml:space="preserve"> royaume, ce qui se pourrait faire s’il n’y était promptement pourvu, aussi que tels monopoles, port d’armes et excès aient à cesser ; après ce qu’avons vu et fait voir par </w:t>
      </w:r>
      <w:proofErr w:type="spellStart"/>
      <w:r>
        <w:t>notredit</w:t>
      </w:r>
      <w:proofErr w:type="spellEnd"/>
      <w:r>
        <w:t xml:space="preserve"> conseil privé de </w:t>
      </w:r>
      <w:proofErr w:type="spellStart"/>
      <w:r>
        <w:t>votredite</w:t>
      </w:r>
      <w:proofErr w:type="spellEnd"/>
      <w:r>
        <w:t xml:space="preserve"> ordonnance et sentence, avons voulu et déclaré, </w:t>
      </w:r>
      <w:r>
        <w:rPr>
          <w:rFonts w:ascii="Times New Roman" w:hAnsi="Times New Roman" w:cs="Times New Roman"/>
        </w:rPr>
        <w:t>[</w:t>
      </w:r>
      <w:r>
        <w:t>...</w:t>
      </w:r>
      <w:r>
        <w:rPr>
          <w:rFonts w:ascii="Times New Roman" w:hAnsi="Times New Roman" w:cs="Times New Roman"/>
        </w:rPr>
        <w:t>]</w:t>
      </w:r>
      <w:r>
        <w:t xml:space="preserve"> entière exécution de point n point selon la formule et teneur, et contraignant à icelle ensuivre et observer tous ceux qu’il appartiendra et pour ce seront à </w:t>
      </w:r>
      <w:proofErr w:type="spellStart"/>
      <w:r>
        <w:t>contraintre</w:t>
      </w:r>
      <w:proofErr w:type="spellEnd"/>
      <w:r>
        <w:t xml:space="preserve"> par toutes voies et manières dues et en tels cas accoutumées, nonobstant oppositions ou appellations faites ou à faire et sans préjudice d’icelles, pour lesquelles ne voulons </w:t>
      </w:r>
      <w:proofErr w:type="spellStart"/>
      <w:r>
        <w:t>estre</w:t>
      </w:r>
      <w:proofErr w:type="spellEnd"/>
      <w:r>
        <w:t xml:space="preserve"> différé. </w:t>
      </w:r>
      <w:r>
        <w:rPr>
          <w:rFonts w:ascii="Times New Roman" w:hAnsi="Times New Roman" w:cs="Times New Roman"/>
        </w:rPr>
        <w:t>[</w:t>
      </w:r>
      <w:r>
        <w:t>...</w:t>
      </w:r>
      <w:r>
        <w:rPr>
          <w:rFonts w:ascii="Times New Roman" w:hAnsi="Times New Roman" w:cs="Times New Roman"/>
        </w:rPr>
        <w:t>]</w:t>
      </w:r>
      <w:r>
        <w:t xml:space="preserve">. Et au surplus repris et remis par devers vous entre vos mains toutes et </w:t>
      </w:r>
      <w:proofErr w:type="spellStart"/>
      <w:r>
        <w:t>chacunes</w:t>
      </w:r>
      <w:proofErr w:type="spellEnd"/>
      <w:r>
        <w:t xml:space="preserve"> les charges et informations faites et à faire tant par nous que par nos officiers de la juridiction ordinaire contre </w:t>
      </w:r>
      <w:proofErr w:type="spellStart"/>
      <w:r>
        <w:t>lesd</w:t>
      </w:r>
      <w:proofErr w:type="spellEnd"/>
      <w:r>
        <w:t xml:space="preserve">. Compagnons imprimeurs et leurs consorts mal vivants et monopoleurs des battures, menaces, excès, </w:t>
      </w:r>
      <w:proofErr w:type="spellStart"/>
      <w:r>
        <w:t>aggressions</w:t>
      </w:r>
      <w:proofErr w:type="spellEnd"/>
      <w:r>
        <w:t xml:space="preserve">, </w:t>
      </w:r>
      <w:r>
        <w:rPr>
          <w:rFonts w:ascii="Times New Roman" w:hAnsi="Times New Roman" w:cs="Times New Roman"/>
        </w:rPr>
        <w:t>[</w:t>
      </w:r>
      <w:r>
        <w:t>...</w:t>
      </w:r>
      <w:r>
        <w:rPr>
          <w:rFonts w:ascii="Times New Roman" w:hAnsi="Times New Roman" w:cs="Times New Roman"/>
        </w:rPr>
        <w:t>]</w:t>
      </w:r>
      <w:r>
        <w:t xml:space="preserve"> procédez contre les coupables extraordinairement par ajournements personnels, bannissements de leurs personnes et autrement ainsi que verrez à être faire et que les cas le requerront, jusques à sentence de torture si besoin </w:t>
      </w:r>
      <w:proofErr w:type="gramStart"/>
      <w:r>
        <w:t>est;</w:t>
      </w:r>
      <w:proofErr w:type="gramEnd"/>
      <w:r>
        <w:t xml:space="preserve"> </w:t>
      </w:r>
      <w:r>
        <w:rPr>
          <w:rFonts w:ascii="Times New Roman" w:hAnsi="Times New Roman" w:cs="Times New Roman"/>
        </w:rPr>
        <w:t>[</w:t>
      </w:r>
      <w:r>
        <w:t>...</w:t>
      </w:r>
      <w:r>
        <w:rPr>
          <w:rFonts w:ascii="Times New Roman" w:hAnsi="Times New Roman" w:cs="Times New Roman"/>
        </w:rPr>
        <w:t>]</w:t>
      </w:r>
      <w:r>
        <w:t>. Car ainsi voulons il être fait. Donné à Villers-</w:t>
      </w:r>
      <w:proofErr w:type="spellStart"/>
      <w:r>
        <w:t>Cousterey</w:t>
      </w:r>
      <w:proofErr w:type="spellEnd"/>
      <w:r>
        <w:t xml:space="preserve">, le </w:t>
      </w:r>
      <w:r w:rsidRPr="0009550F">
        <w:rPr>
          <w:smallCaps/>
        </w:rPr>
        <w:t>xxi</w:t>
      </w:r>
      <w:r>
        <w:t xml:space="preserve"> jour d'août l'an de grâce mil cinq cent </w:t>
      </w:r>
      <w:proofErr w:type="spellStart"/>
      <w:r>
        <w:t>trenteneuf</w:t>
      </w:r>
      <w:proofErr w:type="spellEnd"/>
      <w:r>
        <w:t xml:space="preserve"> et de notre </w:t>
      </w:r>
      <w:proofErr w:type="spellStart"/>
      <w:r>
        <w:t>regne</w:t>
      </w:r>
      <w:proofErr w:type="spellEnd"/>
      <w:r>
        <w:t xml:space="preserve"> le </w:t>
      </w:r>
      <w:proofErr w:type="spellStart"/>
      <w:r>
        <w:t>vingtcinquième</w:t>
      </w:r>
      <w:proofErr w:type="spellEnd"/>
      <w:r>
        <w:t xml:space="preserve">. </w:t>
      </w:r>
    </w:p>
    <w:p w14:paraId="73945685" w14:textId="77777777" w:rsidR="0082363C" w:rsidRDefault="0009550F" w:rsidP="0009550F">
      <w:pPr>
        <w:pStyle w:val="Citationsources"/>
        <w:spacing w:before="120"/>
        <w:ind w:right="1218"/>
      </w:pPr>
      <w:r>
        <w:t>Lettres de François I</w:t>
      </w:r>
      <w:r w:rsidRPr="0009550F">
        <w:rPr>
          <w:vertAlign w:val="superscript"/>
        </w:rPr>
        <w:t>er</w:t>
      </w:r>
      <w:r>
        <w:t xml:space="preserve"> à la sénéchaussée de Lyon, Villers-Cotterêts, 21 août 1540</w:t>
      </w:r>
      <w:r w:rsidR="00DB5810">
        <w:t>, c</w:t>
      </w:r>
      <w:r w:rsidR="0082363C">
        <w:t>ité depui</w:t>
      </w:r>
      <w:r w:rsidR="006F2E57">
        <w:t xml:space="preserve">s </w:t>
      </w:r>
      <w:r>
        <w:br/>
        <w:t xml:space="preserve">Henri </w:t>
      </w:r>
      <w:r w:rsidRPr="0009550F">
        <w:rPr>
          <w:smallCaps/>
        </w:rPr>
        <w:t>Hauser</w:t>
      </w:r>
      <w:r>
        <w:t xml:space="preserve">, </w:t>
      </w:r>
      <w:r>
        <w:rPr>
          <w:i/>
        </w:rPr>
        <w:t xml:space="preserve">Histoire d’une grève au </w:t>
      </w:r>
      <w:proofErr w:type="spellStart"/>
      <w:r>
        <w:rPr>
          <w:i/>
          <w:smallCaps/>
        </w:rPr>
        <w:t>xvi</w:t>
      </w:r>
      <w:r w:rsidRPr="006A3645">
        <w:rPr>
          <w:i/>
          <w:vertAlign w:val="superscript"/>
        </w:rPr>
        <w:t>e</w:t>
      </w:r>
      <w:proofErr w:type="spellEnd"/>
      <w:r>
        <w:rPr>
          <w:i/>
        </w:rPr>
        <w:t xml:space="preserve"> siècle. Les imprimeurs lyonnais de 1539 à 1542</w:t>
      </w:r>
      <w:r>
        <w:t xml:space="preserve">, Paris, 1894. </w:t>
      </w:r>
      <w:r>
        <w:sym w:font="Wingdings" w:char="F0E0"/>
      </w:r>
    </w:p>
    <w:p w14:paraId="1CC810F3" w14:textId="77777777" w:rsidR="005E476E" w:rsidRPr="0064443C" w:rsidRDefault="005E476E" w:rsidP="00441A35">
      <w:pPr>
        <w:pStyle w:val="Titre1"/>
        <w:spacing w:before="120"/>
      </w:pPr>
      <w:r w:rsidRPr="0064443C">
        <w:sym w:font="Wingdings" w:char="F026"/>
      </w:r>
      <w:r w:rsidRPr="0064443C">
        <w:t xml:space="preserve"> Bibliographie sélective</w:t>
      </w:r>
    </w:p>
    <w:p w14:paraId="423EEBA8" w14:textId="77777777" w:rsidR="00D668B3" w:rsidRPr="00441A35" w:rsidRDefault="00D668B3" w:rsidP="00CA253F">
      <w:pPr>
        <w:pStyle w:val="Sansinterligne"/>
        <w:spacing w:before="120" w:after="120" w:line="276" w:lineRule="auto"/>
        <w:rPr>
          <w:sz w:val="21"/>
          <w:szCs w:val="21"/>
        </w:rPr>
      </w:pPr>
      <w:r w:rsidRPr="00441A35">
        <w:rPr>
          <w:sz w:val="21"/>
          <w:szCs w:val="21"/>
        </w:rPr>
        <w:t xml:space="preserve">« Atelier », « Imprimeur », dans </w:t>
      </w:r>
      <w:r w:rsidRPr="00441A35">
        <w:rPr>
          <w:i/>
          <w:sz w:val="21"/>
          <w:szCs w:val="21"/>
        </w:rPr>
        <w:t xml:space="preserve">Dictionnaire encyclopédique du Livre, </w:t>
      </w:r>
      <w:r w:rsidRPr="00441A35">
        <w:rPr>
          <w:sz w:val="21"/>
          <w:szCs w:val="21"/>
        </w:rPr>
        <w:t xml:space="preserve">3 vol., Paris, </w:t>
      </w:r>
      <w:r w:rsidR="00441A35">
        <w:rPr>
          <w:sz w:val="21"/>
          <w:szCs w:val="21"/>
        </w:rPr>
        <w:br/>
      </w:r>
      <w:r w:rsidRPr="00441A35">
        <w:rPr>
          <w:sz w:val="21"/>
          <w:szCs w:val="21"/>
        </w:rPr>
        <w:t xml:space="preserve">Éditions du Cercle de la Librairie, 2011, vol. 1, p. 165-167, vol. 2, p. 542-543. </w:t>
      </w:r>
    </w:p>
    <w:p w14:paraId="02E35A69" w14:textId="77777777" w:rsidR="00D668B3" w:rsidRPr="00441A35" w:rsidRDefault="00D668B3" w:rsidP="005E476E">
      <w:pPr>
        <w:pStyle w:val="Sansinterligne"/>
        <w:spacing w:before="120" w:after="120" w:line="276" w:lineRule="auto"/>
        <w:rPr>
          <w:sz w:val="21"/>
          <w:szCs w:val="21"/>
        </w:rPr>
      </w:pPr>
      <w:r w:rsidRPr="00441A35">
        <w:rPr>
          <w:smallCaps/>
          <w:sz w:val="21"/>
          <w:szCs w:val="21"/>
        </w:rPr>
        <w:t>Barbier</w:t>
      </w:r>
      <w:r w:rsidRPr="00441A35">
        <w:rPr>
          <w:sz w:val="21"/>
          <w:szCs w:val="21"/>
        </w:rPr>
        <w:t xml:space="preserve">, Frédéric, « La société des ateliers », dans </w:t>
      </w:r>
      <w:r w:rsidRPr="00441A35">
        <w:rPr>
          <w:i/>
          <w:sz w:val="21"/>
          <w:szCs w:val="21"/>
        </w:rPr>
        <w:t xml:space="preserve">L'Europe de Gutenberg : </w:t>
      </w:r>
      <w:r w:rsidRPr="00441A35">
        <w:rPr>
          <w:i/>
          <w:sz w:val="21"/>
          <w:szCs w:val="21"/>
        </w:rPr>
        <w:br/>
        <w:t xml:space="preserve">   le livre et l'invention de la modernité occidentale, </w:t>
      </w:r>
      <w:proofErr w:type="spellStart"/>
      <w:r w:rsidRPr="00441A35">
        <w:rPr>
          <w:i/>
          <w:smallCaps/>
          <w:sz w:val="21"/>
          <w:szCs w:val="21"/>
        </w:rPr>
        <w:t>xiii</w:t>
      </w:r>
      <w:r w:rsidRPr="00441A35">
        <w:rPr>
          <w:i/>
          <w:sz w:val="21"/>
          <w:szCs w:val="21"/>
          <w:vertAlign w:val="superscript"/>
        </w:rPr>
        <w:t>e</w:t>
      </w:r>
      <w:proofErr w:type="spellEnd"/>
      <w:r w:rsidR="00542061">
        <w:rPr>
          <w:i/>
          <w:sz w:val="21"/>
          <w:szCs w:val="21"/>
          <w:vertAlign w:val="superscript"/>
        </w:rPr>
        <w:t xml:space="preserve"> </w:t>
      </w:r>
      <w:r w:rsidR="00542061">
        <w:rPr>
          <w:i/>
          <w:sz w:val="21"/>
          <w:szCs w:val="21"/>
        </w:rPr>
        <w:t xml:space="preserve">– </w:t>
      </w:r>
      <w:proofErr w:type="spellStart"/>
      <w:r w:rsidRPr="00441A35">
        <w:rPr>
          <w:i/>
          <w:smallCaps/>
          <w:sz w:val="21"/>
          <w:szCs w:val="21"/>
        </w:rPr>
        <w:t>xvi</w:t>
      </w:r>
      <w:r w:rsidRPr="00441A35">
        <w:rPr>
          <w:i/>
          <w:sz w:val="21"/>
          <w:szCs w:val="21"/>
          <w:vertAlign w:val="superscript"/>
        </w:rPr>
        <w:t>e</w:t>
      </w:r>
      <w:proofErr w:type="spellEnd"/>
      <w:r w:rsidRPr="00441A35">
        <w:rPr>
          <w:i/>
          <w:sz w:val="21"/>
          <w:szCs w:val="21"/>
        </w:rPr>
        <w:t xml:space="preserve"> siècle</w:t>
      </w:r>
      <w:r w:rsidRPr="00441A35">
        <w:rPr>
          <w:sz w:val="21"/>
          <w:szCs w:val="21"/>
        </w:rPr>
        <w:t xml:space="preserve">, Paris, Belin, 2006, p. 168-181. </w:t>
      </w:r>
    </w:p>
    <w:p w14:paraId="67102178" w14:textId="77777777" w:rsidR="00D668B3" w:rsidRPr="00441A35" w:rsidRDefault="00D668B3" w:rsidP="005E476E">
      <w:pPr>
        <w:pStyle w:val="Sansinterligne"/>
        <w:spacing w:before="120" w:after="120" w:line="276" w:lineRule="auto"/>
        <w:rPr>
          <w:sz w:val="21"/>
          <w:szCs w:val="21"/>
        </w:rPr>
      </w:pPr>
      <w:proofErr w:type="spellStart"/>
      <w:r w:rsidRPr="00441A35">
        <w:rPr>
          <w:smallCaps/>
          <w:sz w:val="21"/>
          <w:szCs w:val="21"/>
        </w:rPr>
        <w:t>Souriac</w:t>
      </w:r>
      <w:proofErr w:type="spellEnd"/>
      <w:r w:rsidRPr="00441A35">
        <w:rPr>
          <w:sz w:val="21"/>
          <w:szCs w:val="21"/>
        </w:rPr>
        <w:t xml:space="preserve">, Pierre-Jean, « Lyon à la Renaissance », dans </w:t>
      </w:r>
      <w:r w:rsidRPr="00441A35">
        <w:rPr>
          <w:i/>
          <w:sz w:val="21"/>
          <w:szCs w:val="21"/>
        </w:rPr>
        <w:t xml:space="preserve">Nouvelle histoire de Lyon et de la métropole, </w:t>
      </w:r>
      <w:r w:rsidRPr="00441A35">
        <w:rPr>
          <w:i/>
          <w:sz w:val="21"/>
          <w:szCs w:val="21"/>
        </w:rPr>
        <w:br/>
        <w:t xml:space="preserve">   </w:t>
      </w:r>
      <w:r w:rsidRPr="00441A35">
        <w:rPr>
          <w:sz w:val="21"/>
          <w:szCs w:val="21"/>
        </w:rPr>
        <w:t xml:space="preserve">éd. Paul </w:t>
      </w:r>
      <w:r w:rsidRPr="00441A35">
        <w:rPr>
          <w:smallCaps/>
          <w:sz w:val="21"/>
          <w:szCs w:val="21"/>
        </w:rPr>
        <w:t>Chopelin</w:t>
      </w:r>
      <w:r w:rsidRPr="00441A35">
        <w:rPr>
          <w:sz w:val="21"/>
          <w:szCs w:val="21"/>
        </w:rPr>
        <w:t xml:space="preserve">, Pierre-Jean </w:t>
      </w:r>
      <w:proofErr w:type="spellStart"/>
      <w:r w:rsidRPr="00441A35">
        <w:rPr>
          <w:smallCaps/>
          <w:sz w:val="21"/>
          <w:szCs w:val="21"/>
        </w:rPr>
        <w:t>Souriac</w:t>
      </w:r>
      <w:proofErr w:type="spellEnd"/>
      <w:r w:rsidRPr="00441A35">
        <w:rPr>
          <w:sz w:val="21"/>
          <w:szCs w:val="21"/>
        </w:rPr>
        <w:t>, Toulouse, Privat, 2019, p. 259-326</w:t>
      </w:r>
    </w:p>
    <w:p w14:paraId="70E0E2B1" w14:textId="77777777" w:rsidR="005E476E" w:rsidRPr="0009550F" w:rsidRDefault="00D668B3" w:rsidP="0009550F">
      <w:pPr>
        <w:pStyle w:val="Sansinterligne"/>
        <w:spacing w:before="120" w:after="120" w:line="276" w:lineRule="auto"/>
        <w:rPr>
          <w:sz w:val="21"/>
          <w:szCs w:val="21"/>
        </w:rPr>
      </w:pPr>
      <w:proofErr w:type="spellStart"/>
      <w:r w:rsidRPr="00441A35">
        <w:rPr>
          <w:smallCaps/>
          <w:sz w:val="21"/>
          <w:szCs w:val="21"/>
        </w:rPr>
        <w:t>Zemon</w:t>
      </w:r>
      <w:proofErr w:type="spellEnd"/>
      <w:r w:rsidRPr="00441A35">
        <w:rPr>
          <w:smallCaps/>
          <w:sz w:val="21"/>
          <w:szCs w:val="21"/>
        </w:rPr>
        <w:t xml:space="preserve"> Davis, </w:t>
      </w:r>
      <w:r w:rsidRPr="00441A35">
        <w:rPr>
          <w:sz w:val="21"/>
          <w:szCs w:val="21"/>
        </w:rPr>
        <w:t xml:space="preserve">Nathalie, </w:t>
      </w:r>
      <w:r w:rsidRPr="00441A35">
        <w:rPr>
          <w:rFonts w:eastAsia="Times New Roman" w:cs="Times New Roman"/>
          <w:bCs/>
          <w:sz w:val="21"/>
          <w:szCs w:val="21"/>
          <w:lang w:eastAsia="fr-FR"/>
        </w:rPr>
        <w:t xml:space="preserve">« Le monde de l’imprimerie humaniste : Lyon », dans Henri-Jean </w:t>
      </w:r>
      <w:r w:rsidRPr="00441A35">
        <w:rPr>
          <w:rFonts w:eastAsia="Times New Roman" w:cs="Times New Roman"/>
          <w:bCs/>
          <w:smallCaps/>
          <w:sz w:val="21"/>
          <w:szCs w:val="21"/>
          <w:lang w:eastAsia="fr-FR"/>
        </w:rPr>
        <w:t>Martin</w:t>
      </w:r>
      <w:r w:rsidRPr="00441A35">
        <w:rPr>
          <w:rFonts w:eastAsia="Times New Roman" w:cs="Times New Roman"/>
          <w:bCs/>
          <w:sz w:val="21"/>
          <w:szCs w:val="21"/>
          <w:lang w:eastAsia="fr-FR"/>
        </w:rPr>
        <w:t xml:space="preserve">, </w:t>
      </w:r>
      <w:r w:rsidRPr="00441A35">
        <w:rPr>
          <w:rFonts w:eastAsia="Times New Roman" w:cs="Times New Roman"/>
          <w:bCs/>
          <w:sz w:val="21"/>
          <w:szCs w:val="21"/>
          <w:lang w:eastAsia="fr-FR"/>
        </w:rPr>
        <w:br/>
        <w:t xml:space="preserve">   Roger </w:t>
      </w:r>
      <w:r w:rsidRPr="00441A35">
        <w:rPr>
          <w:rFonts w:eastAsia="Times New Roman" w:cs="Times New Roman"/>
          <w:bCs/>
          <w:smallCaps/>
          <w:sz w:val="21"/>
          <w:szCs w:val="21"/>
          <w:lang w:eastAsia="fr-FR"/>
        </w:rPr>
        <w:t>Chartier</w:t>
      </w:r>
      <w:r w:rsidRPr="00441A35">
        <w:rPr>
          <w:rFonts w:eastAsia="Times New Roman" w:cs="Times New Roman"/>
          <w:bCs/>
          <w:sz w:val="21"/>
          <w:szCs w:val="21"/>
          <w:lang w:eastAsia="fr-FR"/>
        </w:rPr>
        <w:t xml:space="preserve"> (dir.), </w:t>
      </w:r>
      <w:r w:rsidRPr="00441A35">
        <w:rPr>
          <w:rFonts w:eastAsia="Times New Roman" w:cs="Times New Roman"/>
          <w:bCs/>
          <w:i/>
          <w:iCs/>
          <w:sz w:val="21"/>
          <w:szCs w:val="21"/>
          <w:lang w:eastAsia="fr-FR"/>
        </w:rPr>
        <w:t>Histoire de l’</w:t>
      </w:r>
      <w:proofErr w:type="spellStart"/>
      <w:r w:rsidRPr="00441A35">
        <w:rPr>
          <w:rFonts w:eastAsia="Times New Roman" w:cs="Times New Roman"/>
          <w:bCs/>
          <w:i/>
          <w:iCs/>
          <w:sz w:val="21"/>
          <w:szCs w:val="21"/>
          <w:lang w:eastAsia="fr-FR"/>
        </w:rPr>
        <w:t>édition</w:t>
      </w:r>
      <w:proofErr w:type="spellEnd"/>
      <w:r w:rsidRPr="00441A35">
        <w:rPr>
          <w:rFonts w:eastAsia="Times New Roman" w:cs="Times New Roman"/>
          <w:bCs/>
          <w:i/>
          <w:iCs/>
          <w:sz w:val="21"/>
          <w:szCs w:val="21"/>
          <w:lang w:eastAsia="fr-FR"/>
        </w:rPr>
        <w:t xml:space="preserve"> </w:t>
      </w:r>
      <w:proofErr w:type="spellStart"/>
      <w:r w:rsidRPr="00441A35">
        <w:rPr>
          <w:rFonts w:eastAsia="Times New Roman" w:cs="Times New Roman"/>
          <w:bCs/>
          <w:i/>
          <w:iCs/>
          <w:sz w:val="21"/>
          <w:szCs w:val="21"/>
          <w:lang w:eastAsia="fr-FR"/>
        </w:rPr>
        <w:t>franc</w:t>
      </w:r>
      <w:r w:rsidRPr="00441A35">
        <w:rPr>
          <w:rFonts w:ascii="Times New Roman" w:eastAsia="Times New Roman" w:hAnsi="Times New Roman" w:cs="Times New Roman"/>
          <w:bCs/>
          <w:i/>
          <w:iCs/>
          <w:sz w:val="21"/>
          <w:szCs w:val="21"/>
          <w:lang w:eastAsia="fr-FR"/>
        </w:rPr>
        <w:t>̧</w:t>
      </w:r>
      <w:r w:rsidRPr="00441A35">
        <w:rPr>
          <w:rFonts w:eastAsia="Times New Roman" w:cs="Times New Roman"/>
          <w:bCs/>
          <w:i/>
          <w:iCs/>
          <w:sz w:val="21"/>
          <w:szCs w:val="21"/>
          <w:lang w:eastAsia="fr-FR"/>
        </w:rPr>
        <w:t>aise</w:t>
      </w:r>
      <w:proofErr w:type="spellEnd"/>
      <w:r w:rsidRPr="00441A35">
        <w:rPr>
          <w:rFonts w:eastAsia="Times New Roman" w:cs="Times New Roman"/>
          <w:bCs/>
          <w:sz w:val="21"/>
          <w:szCs w:val="21"/>
          <w:lang w:eastAsia="fr-FR"/>
        </w:rPr>
        <w:t xml:space="preserve">, Paris, </w:t>
      </w:r>
      <w:proofErr w:type="spellStart"/>
      <w:r w:rsidRPr="00441A35">
        <w:rPr>
          <w:rFonts w:eastAsia="Times New Roman" w:cs="Times New Roman"/>
          <w:bCs/>
          <w:sz w:val="21"/>
          <w:szCs w:val="21"/>
          <w:lang w:eastAsia="fr-FR"/>
        </w:rPr>
        <w:t>Promodis</w:t>
      </w:r>
      <w:proofErr w:type="spellEnd"/>
      <w:r w:rsidRPr="00441A35">
        <w:rPr>
          <w:rFonts w:eastAsia="Times New Roman" w:cs="Times New Roman"/>
          <w:bCs/>
          <w:sz w:val="21"/>
          <w:szCs w:val="21"/>
          <w:lang w:eastAsia="fr-FR"/>
        </w:rPr>
        <w:t>, 1993, vol. 1, p. 423- 444</w:t>
      </w:r>
      <w:r w:rsidRPr="00441A35">
        <w:rPr>
          <w:sz w:val="21"/>
          <w:szCs w:val="21"/>
        </w:rPr>
        <w:t xml:space="preserve">. </w:t>
      </w:r>
    </w:p>
    <w:p w14:paraId="7E6598EF" w14:textId="77777777" w:rsidR="00601A46" w:rsidRPr="003F6C23" w:rsidRDefault="00601A46" w:rsidP="003F6C23">
      <w:pPr>
        <w:pStyle w:val="Titre1"/>
      </w:pPr>
      <w:r>
        <w:lastRenderedPageBreak/>
        <w:t xml:space="preserve">Document 2. </w:t>
      </w:r>
      <w:r w:rsidR="003F6C23">
        <w:t xml:space="preserve">Un atelier d’imprimerie au </w:t>
      </w:r>
      <w:proofErr w:type="spellStart"/>
      <w:r w:rsidR="003F6C23">
        <w:rPr>
          <w:smallCaps/>
        </w:rPr>
        <w:t>xvi</w:t>
      </w:r>
      <w:r w:rsidR="003F6C23" w:rsidRPr="003F6C23">
        <w:rPr>
          <w:vertAlign w:val="superscript"/>
        </w:rPr>
        <w:t>e</w:t>
      </w:r>
      <w:proofErr w:type="spellEnd"/>
      <w:r w:rsidR="003F6C23">
        <w:t xml:space="preserve"> siècle</w:t>
      </w:r>
    </w:p>
    <w:p w14:paraId="1AA8F3C0" w14:textId="77777777" w:rsidR="00E6656A" w:rsidRDefault="00DB5810" w:rsidP="00DB5810">
      <w:pPr>
        <w:pStyle w:val="Sansinterligne"/>
      </w:pPr>
      <w:r w:rsidRPr="00DB5810">
        <w:rPr>
          <w:noProof/>
        </w:rPr>
        <w:drawing>
          <wp:inline distT="0" distB="0" distL="0" distR="0" wp14:anchorId="531F671D" wp14:editId="76C39461">
            <wp:extent cx="5904230" cy="4512310"/>
            <wp:effectExtent l="0" t="0" r="127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04230" cy="4512310"/>
                    </a:xfrm>
                    <a:prstGeom prst="rect">
                      <a:avLst/>
                    </a:prstGeom>
                  </pic:spPr>
                </pic:pic>
              </a:graphicData>
            </a:graphic>
          </wp:inline>
        </w:drawing>
      </w:r>
    </w:p>
    <w:p w14:paraId="5E9BC804" w14:textId="77777777" w:rsidR="0075030A" w:rsidRPr="005E476E" w:rsidRDefault="00DB5810" w:rsidP="005E476E">
      <w:pPr>
        <w:pStyle w:val="Citationsources"/>
        <w:spacing w:before="120"/>
      </w:pPr>
      <w:r w:rsidRPr="00DB5810">
        <w:t xml:space="preserve">Jan Van Der </w:t>
      </w:r>
      <w:proofErr w:type="spellStart"/>
      <w:r w:rsidRPr="00DB5810">
        <w:t>Straet</w:t>
      </w:r>
      <w:proofErr w:type="spellEnd"/>
      <w:r w:rsidRPr="00DB5810">
        <w:t xml:space="preserve"> dit </w:t>
      </w:r>
      <w:proofErr w:type="spellStart"/>
      <w:r w:rsidRPr="00DB5810">
        <w:rPr>
          <w:smallCaps/>
        </w:rPr>
        <w:t>Stradanus</w:t>
      </w:r>
      <w:proofErr w:type="spellEnd"/>
      <w:r w:rsidRPr="00DB5810">
        <w:t xml:space="preserve"> (1523-1605), </w:t>
      </w:r>
      <w:r>
        <w:t>« </w:t>
      </w:r>
      <w:proofErr w:type="spellStart"/>
      <w:r w:rsidRPr="00DB5810">
        <w:rPr>
          <w:i/>
        </w:rPr>
        <w:t>Impressio</w:t>
      </w:r>
      <w:proofErr w:type="spellEnd"/>
      <w:r w:rsidRPr="00DB5810">
        <w:rPr>
          <w:i/>
        </w:rPr>
        <w:t xml:space="preserve"> </w:t>
      </w:r>
      <w:proofErr w:type="spellStart"/>
      <w:r w:rsidRPr="00DB5810">
        <w:rPr>
          <w:i/>
        </w:rPr>
        <w:t>Librorum</w:t>
      </w:r>
      <w:proofErr w:type="spellEnd"/>
      <w:r>
        <w:t xml:space="preserve"> », </w:t>
      </w:r>
      <w:r>
        <w:br/>
        <w:t xml:space="preserve">dans </w:t>
      </w:r>
      <w:r w:rsidRPr="00DB5810">
        <w:t xml:space="preserve">Philip </w:t>
      </w:r>
      <w:r w:rsidRPr="00DB5810">
        <w:rPr>
          <w:smallCaps/>
        </w:rPr>
        <w:t>Galle</w:t>
      </w:r>
      <w:r w:rsidRPr="00DB5810">
        <w:t xml:space="preserve"> (1537-1612), </w:t>
      </w:r>
      <w:r w:rsidRPr="00DB5810">
        <w:rPr>
          <w:i/>
        </w:rPr>
        <w:t>Recueil sur les métiers</w:t>
      </w:r>
      <w:r>
        <w:t xml:space="preserve">, </w:t>
      </w:r>
      <w:r w:rsidRPr="00DB5810">
        <w:t>Amsterdam, 1600.</w:t>
      </w:r>
    </w:p>
    <w:p w14:paraId="1955354C" w14:textId="77777777" w:rsidR="0075030A" w:rsidRDefault="0075030A" w:rsidP="0075030A">
      <w:pPr>
        <w:pStyle w:val="Titre1"/>
      </w:pPr>
      <w:r>
        <w:sym w:font="Wingdings" w:char="F023"/>
      </w:r>
      <w:r w:rsidRPr="00FF3871">
        <w:t xml:space="preserve"> </w:t>
      </w:r>
      <w:r>
        <w:t>Un vocabulaire spécifique : le matériel d’imprimerie</w:t>
      </w:r>
    </w:p>
    <w:p w14:paraId="74EA510A" w14:textId="77777777" w:rsidR="0075030A" w:rsidRPr="0075030A" w:rsidRDefault="0075030A" w:rsidP="0075030A">
      <w:r>
        <w:t xml:space="preserve">L’imprimerie repose sur un ensemble d’outils spécifiques, dont l’usage peut ou non être réservé à un type d’ouvriers en fonction du degré d’expertise nécessaire. </w:t>
      </w:r>
      <w:r w:rsidR="00A45B42">
        <w:t>À l’aide des définitions suivantes, vous pouvez essayer d’identifier ces outils et de les replacer dans une pratique physique</w:t>
      </w:r>
      <w:r w:rsidR="00E35F0B">
        <w:t>, et ainsi expliquer le document 2</w:t>
      </w:r>
      <w:r w:rsidR="00A45B42">
        <w:t xml:space="preserve">. </w:t>
      </w:r>
    </w:p>
    <w:p w14:paraId="5C33E1D2" w14:textId="77777777" w:rsidR="001245CF" w:rsidRDefault="001245CF" w:rsidP="00732222">
      <w:pPr>
        <w:pStyle w:val="Sansinterligne"/>
        <w:spacing w:before="100" w:after="100" w:line="276" w:lineRule="auto"/>
        <w:jc w:val="both"/>
        <w:rPr>
          <w:sz w:val="21"/>
          <w:szCs w:val="21"/>
        </w:rPr>
      </w:pPr>
      <w:r w:rsidRPr="00A125BD">
        <w:rPr>
          <w:b/>
          <w:sz w:val="21"/>
          <w:szCs w:val="21"/>
        </w:rPr>
        <w:t>Balle</w:t>
      </w:r>
      <w:r>
        <w:rPr>
          <w:sz w:val="21"/>
          <w:szCs w:val="21"/>
        </w:rPr>
        <w:t> : f</w:t>
      </w:r>
      <w:r w:rsidRPr="00A125BD">
        <w:rPr>
          <w:sz w:val="21"/>
          <w:szCs w:val="21"/>
        </w:rPr>
        <w:t xml:space="preserve">rotton fait de crin pétri et de colle forte en forme de </w:t>
      </w:r>
      <w:r>
        <w:rPr>
          <w:sz w:val="21"/>
          <w:szCs w:val="21"/>
        </w:rPr>
        <w:t>boule,</w:t>
      </w:r>
      <w:r w:rsidRPr="00A125BD">
        <w:rPr>
          <w:sz w:val="21"/>
          <w:szCs w:val="21"/>
        </w:rPr>
        <w:t xml:space="preserve"> enveloppée d'un linge ou d'une peau</w:t>
      </w:r>
      <w:r>
        <w:rPr>
          <w:sz w:val="21"/>
          <w:szCs w:val="21"/>
        </w:rPr>
        <w:t xml:space="preserve">, pour frotter les matrices* et badigeonner les caractères d’encre. </w:t>
      </w:r>
    </w:p>
    <w:p w14:paraId="4D6B126D" w14:textId="77777777" w:rsidR="001245CF" w:rsidRDefault="001245CF" w:rsidP="00732222">
      <w:pPr>
        <w:pStyle w:val="Sansinterligne"/>
        <w:spacing w:before="100" w:after="100" w:line="276" w:lineRule="auto"/>
        <w:jc w:val="both"/>
        <w:rPr>
          <w:sz w:val="21"/>
          <w:szCs w:val="21"/>
        </w:rPr>
      </w:pPr>
      <w:r w:rsidRPr="00A45B42">
        <w:rPr>
          <w:b/>
          <w:sz w:val="21"/>
          <w:szCs w:val="21"/>
        </w:rPr>
        <w:t>Casse</w:t>
      </w:r>
      <w:r>
        <w:rPr>
          <w:sz w:val="21"/>
          <w:szCs w:val="21"/>
        </w:rPr>
        <w:t> : bo</w:t>
      </w:r>
      <w:r w:rsidRPr="00A125BD">
        <w:rPr>
          <w:sz w:val="21"/>
          <w:szCs w:val="21"/>
        </w:rPr>
        <w:t>îte ou meuble divisé en petites cases contenant les caractères typographiques</w:t>
      </w:r>
      <w:r>
        <w:rPr>
          <w:sz w:val="21"/>
          <w:szCs w:val="21"/>
        </w:rPr>
        <w:t xml:space="preserve"> ; les caractères y sont triés en fonction de leur fréquence d’usage : en haut se trouvent les caractères les plus rares. </w:t>
      </w:r>
    </w:p>
    <w:p w14:paraId="1FAEB0F9" w14:textId="77777777" w:rsidR="001245CF" w:rsidRPr="00A125BD" w:rsidRDefault="001245CF" w:rsidP="00732222">
      <w:pPr>
        <w:pStyle w:val="Sansinterligne"/>
        <w:spacing w:before="100" w:after="100" w:line="276" w:lineRule="auto"/>
        <w:jc w:val="both"/>
        <w:rPr>
          <w:sz w:val="21"/>
          <w:szCs w:val="21"/>
        </w:rPr>
      </w:pPr>
      <w:r w:rsidRPr="001245CF">
        <w:rPr>
          <w:b/>
          <w:sz w:val="21"/>
          <w:szCs w:val="21"/>
        </w:rPr>
        <w:t>Fonte</w:t>
      </w:r>
      <w:r>
        <w:rPr>
          <w:sz w:val="21"/>
          <w:szCs w:val="21"/>
        </w:rPr>
        <w:t xml:space="preserve"> : ensemble des caractères utilisés par un imprimeur pour faire son travail. La fonte est un jeu complet. Un imprimeur peut en avoir plusieurs, fabriquées pour lui ou, le plus souvent, achetées d’occasion. </w:t>
      </w:r>
    </w:p>
    <w:p w14:paraId="0BC7FDFA" w14:textId="77777777" w:rsidR="001245CF" w:rsidRDefault="001245CF" w:rsidP="00732222">
      <w:pPr>
        <w:pStyle w:val="Sansinterligne"/>
        <w:spacing w:before="100" w:after="100" w:line="276" w:lineRule="auto"/>
        <w:jc w:val="both"/>
        <w:rPr>
          <w:sz w:val="21"/>
          <w:szCs w:val="21"/>
        </w:rPr>
      </w:pPr>
      <w:r w:rsidRPr="00A45B42">
        <w:rPr>
          <w:b/>
          <w:sz w:val="21"/>
          <w:szCs w:val="21"/>
        </w:rPr>
        <w:t>Galée</w:t>
      </w:r>
      <w:r>
        <w:rPr>
          <w:sz w:val="21"/>
          <w:szCs w:val="21"/>
        </w:rPr>
        <w:t> : pl</w:t>
      </w:r>
      <w:r w:rsidRPr="00A125BD">
        <w:rPr>
          <w:sz w:val="21"/>
          <w:szCs w:val="21"/>
        </w:rPr>
        <w:t>anchette rectangulaire munie, sur trois de ses faces, d'un rebord, et sur laquelle le compositeur typographe dépose les lignes composées dans le composteur</w:t>
      </w:r>
      <w:r>
        <w:rPr>
          <w:sz w:val="21"/>
          <w:szCs w:val="21"/>
        </w:rPr>
        <w:t xml:space="preserve">. Elle enserre les caractères pour former un modèle de page. </w:t>
      </w:r>
    </w:p>
    <w:p w14:paraId="1267182B" w14:textId="77777777" w:rsidR="001245CF" w:rsidRDefault="001245CF" w:rsidP="00732222">
      <w:pPr>
        <w:pStyle w:val="Sansinterligne"/>
        <w:spacing w:before="100" w:after="100" w:line="276" w:lineRule="auto"/>
        <w:jc w:val="both"/>
        <w:rPr>
          <w:sz w:val="21"/>
          <w:szCs w:val="21"/>
        </w:rPr>
      </w:pPr>
      <w:r w:rsidRPr="00A125BD">
        <w:rPr>
          <w:b/>
          <w:sz w:val="21"/>
          <w:szCs w:val="21"/>
        </w:rPr>
        <w:t>Presse </w:t>
      </w:r>
      <w:r w:rsidRPr="00A125BD">
        <w:rPr>
          <w:sz w:val="21"/>
          <w:szCs w:val="21"/>
        </w:rPr>
        <w:t xml:space="preserve">: </w:t>
      </w:r>
      <w:r w:rsidRPr="00A125BD">
        <w:rPr>
          <w:rFonts w:cs="Times New Roman"/>
          <w:sz w:val="21"/>
          <w:szCs w:val="21"/>
        </w:rPr>
        <w:t xml:space="preserve">mécanisme destiné à presser une </w:t>
      </w:r>
      <w:r>
        <w:rPr>
          <w:rFonts w:cs="Times New Roman"/>
          <w:sz w:val="21"/>
          <w:szCs w:val="21"/>
        </w:rPr>
        <w:t>galée</w:t>
      </w:r>
      <w:r w:rsidRPr="00A125BD">
        <w:rPr>
          <w:rFonts w:cs="Times New Roman"/>
          <w:sz w:val="21"/>
          <w:szCs w:val="21"/>
        </w:rPr>
        <w:t>* sur un support afin d’y imprimer quelque chose</w:t>
      </w:r>
      <w:r w:rsidRPr="00A125BD">
        <w:rPr>
          <w:sz w:val="21"/>
          <w:szCs w:val="21"/>
        </w:rPr>
        <w:t xml:space="preserve">. Les presses sont, au </w:t>
      </w:r>
      <w:proofErr w:type="spellStart"/>
      <w:r w:rsidRPr="00A125BD">
        <w:rPr>
          <w:smallCaps/>
          <w:sz w:val="21"/>
          <w:szCs w:val="21"/>
        </w:rPr>
        <w:t>xvi</w:t>
      </w:r>
      <w:r w:rsidRPr="00A125BD">
        <w:rPr>
          <w:sz w:val="21"/>
          <w:szCs w:val="21"/>
        </w:rPr>
        <w:t>e</w:t>
      </w:r>
      <w:proofErr w:type="spellEnd"/>
      <w:r w:rsidRPr="00A125BD">
        <w:rPr>
          <w:sz w:val="21"/>
          <w:szCs w:val="21"/>
        </w:rPr>
        <w:t xml:space="preserve"> siècle, construites en bois et manœuvrées à la main par une ou plusieurs personnes, sur une base verticale (pour lever et abaisser la presse) et une base horizontale (pour cadrer la galée). </w:t>
      </w:r>
    </w:p>
    <w:p w14:paraId="1816F3E1" w14:textId="77777777" w:rsidR="00361D8E" w:rsidRDefault="00361D8E" w:rsidP="00732222">
      <w:pPr>
        <w:pStyle w:val="Sansinterligne"/>
        <w:spacing w:before="100" w:after="100" w:line="276" w:lineRule="auto"/>
        <w:jc w:val="both"/>
        <w:rPr>
          <w:sz w:val="21"/>
          <w:szCs w:val="21"/>
        </w:rPr>
      </w:pPr>
      <w:r w:rsidRPr="00361D8E">
        <w:rPr>
          <w:b/>
          <w:sz w:val="21"/>
          <w:szCs w:val="21"/>
        </w:rPr>
        <w:t>Rame</w:t>
      </w:r>
      <w:r>
        <w:rPr>
          <w:sz w:val="21"/>
          <w:szCs w:val="21"/>
        </w:rPr>
        <w:t xml:space="preserve"> : ensemble de papier composé de 500 feuilles, reliées ensemble. Le stockage des rames constitue un enjeu de premier ordre pour les imprimeurs : il faut un espace, sec, à l’abri des rongeurs et du feu. </w:t>
      </w:r>
    </w:p>
    <w:p w14:paraId="4396B270" w14:textId="77777777" w:rsidR="00C6480B" w:rsidRPr="005E476E" w:rsidRDefault="00C6480B" w:rsidP="00732222">
      <w:pPr>
        <w:pStyle w:val="Sansinterligne"/>
        <w:spacing w:before="100" w:after="100" w:line="276" w:lineRule="auto"/>
        <w:jc w:val="both"/>
        <w:rPr>
          <w:sz w:val="21"/>
          <w:szCs w:val="21"/>
        </w:rPr>
      </w:pPr>
      <w:r>
        <w:br w:type="page"/>
      </w:r>
    </w:p>
    <w:p w14:paraId="07485945" w14:textId="77777777" w:rsidR="00F77E98" w:rsidRPr="009D6DD9" w:rsidRDefault="00F77E98" w:rsidP="00F77E98">
      <w:pPr>
        <w:pStyle w:val="Titre"/>
      </w:pPr>
      <w:bookmarkStart w:id="12" w:name="_Toc185425572"/>
      <w:r w:rsidRPr="009D6DD9">
        <w:lastRenderedPageBreak/>
        <w:t xml:space="preserve">Séance </w:t>
      </w:r>
      <w:r>
        <w:t>11</w:t>
      </w:r>
      <w:r w:rsidRPr="009D6DD9">
        <w:br/>
      </w:r>
      <w:r w:rsidR="00C85FC2">
        <w:rPr>
          <w:b/>
        </w:rPr>
        <w:t>Expliquer des sources difficiles</w:t>
      </w:r>
      <w:bookmarkEnd w:id="12"/>
      <w:r w:rsidR="00C85FC2">
        <w:rPr>
          <w:b/>
        </w:rPr>
        <w:t xml:space="preserve"> </w:t>
      </w:r>
    </w:p>
    <w:p w14:paraId="7D9552BA" w14:textId="77777777" w:rsidR="007A0B39" w:rsidRDefault="00F77E98" w:rsidP="00F4360C">
      <w:pPr>
        <w:pStyle w:val="Titre1"/>
      </w:pPr>
      <w:r w:rsidRPr="001876DF">
        <w:t xml:space="preserve">Document 1. </w:t>
      </w:r>
      <w:r>
        <w:t>Les 95 thèses de Luther</w:t>
      </w:r>
      <w:r w:rsidR="00AD6704">
        <w:t xml:space="preserve"> (</w:t>
      </w:r>
      <w:r w:rsidR="001F6E7C">
        <w:t>1517</w:t>
      </w:r>
      <w:r w:rsidR="00AD6704">
        <w:t>)</w:t>
      </w:r>
    </w:p>
    <w:p w14:paraId="64939F48" w14:textId="77777777" w:rsidR="004B2CE4" w:rsidRDefault="002E661B" w:rsidP="007A0B39">
      <w:r>
        <w:t xml:space="preserve">1. En disant « Faites pénitence </w:t>
      </w:r>
      <w:r>
        <w:rPr>
          <w:rFonts w:ascii="Times New Roman" w:hAnsi="Times New Roman" w:cs="Times New Roman"/>
        </w:rPr>
        <w:t>[</w:t>
      </w:r>
      <w:r>
        <w:t>...</w:t>
      </w:r>
      <w:r>
        <w:rPr>
          <w:rFonts w:ascii="Times New Roman" w:hAnsi="Times New Roman" w:cs="Times New Roman"/>
        </w:rPr>
        <w:t>]</w:t>
      </w:r>
      <w:r>
        <w:t xml:space="preserve"> », notre Seigneur et Maître Jésus-Christ a voulu que toute la vie des fidèles soit une pénitence. 2. Cette parole ne peut être comprise comme s’appliquant à la pénitence sacramentelle (c’est-à-dire à la confession et à la satisfaction), célébrée par le ministère des prêtres. </w:t>
      </w:r>
    </w:p>
    <w:p w14:paraId="0E5274C9" w14:textId="77777777" w:rsidR="002E661B" w:rsidRDefault="002E661B" w:rsidP="007A0B39">
      <w:r>
        <w:t xml:space="preserve">5. Le pape ne veut ni ne peut remettre aucune peine, excepté celles qu’il a imposées soit de sa propre volonté, soit conformément aux canons. 6. Le pape ne peut remette aucune faute si ce n’est en déclarant et en affirmant qu’elle a été remise par Dieu, ou en la remettant avec certitude dans les cas qu’il s’est réservés ; si ceux-ci étaient méprisés, la faute subsisterait intégralement. </w:t>
      </w:r>
    </w:p>
    <w:p w14:paraId="0C56FE84" w14:textId="77777777" w:rsidR="002E661B" w:rsidRDefault="002E661B" w:rsidP="007A0B39">
      <w:r>
        <w:t xml:space="preserve">20. Le pape, lorsqu’il parle de rémission plénière de toutes les peines, ne les comprend pas absolument toutes, mais seulement celles qu’il a lui-même imposées. 21. Ils errent donc, les prédicateurs des indulgences qui disent que par les indulgences du pape, l’homme est quitte de toute peine et qu’il est sauvé. </w:t>
      </w:r>
      <w:r w:rsidR="00152D0F">
        <w:t xml:space="preserve">24. La majeure partie du peuple est nécessairement trompée par cette promesse indifférenciée et grandiose de la rémission de toute peine. 27. Ils prêchent l’homme, ceux qui disent qu’aussitôt tintera l’argent jeté dans la caisse, aussitôt l’âme s’envolera </w:t>
      </w:r>
      <w:r w:rsidR="00152D0F">
        <w:rPr>
          <w:rFonts w:ascii="Times New Roman" w:hAnsi="Times New Roman" w:cs="Times New Roman"/>
        </w:rPr>
        <w:t>[</w:t>
      </w:r>
      <w:r w:rsidR="00152D0F">
        <w:t>du purgatoire</w:t>
      </w:r>
      <w:r w:rsidR="00152D0F">
        <w:rPr>
          <w:rFonts w:ascii="Times New Roman" w:hAnsi="Times New Roman" w:cs="Times New Roman"/>
        </w:rPr>
        <w:t>]</w:t>
      </w:r>
      <w:r w:rsidR="00152D0F">
        <w:t xml:space="preserve">. </w:t>
      </w:r>
    </w:p>
    <w:p w14:paraId="006EC9FA" w14:textId="77777777" w:rsidR="00B215DC" w:rsidRDefault="00152D0F" w:rsidP="00B215DC">
      <w:r>
        <w:t>35. Ils prêchent des choses qui ne sont pas chrétiennes, ceux qui enseignent que la contrition n’est pas nécessaire aux personnes qui veulent racheter des âmes ou acquérir des billets de confession. 36. N’importe quel chrétien, vraiment repentant, a pleine rémission de la peine et de la faute ; elle lui est due même sans lettres d’indulgences.</w:t>
      </w:r>
      <w:r w:rsidR="00B215DC">
        <w:t xml:space="preserve"> </w:t>
      </w:r>
      <w:r w:rsidR="004B2CE4">
        <w:t>42.</w:t>
      </w:r>
      <w:r>
        <w:t xml:space="preserve"> Il faut apprendre aux chrétiens que ce n’est pas la pensée du pape qu’il faille comparer, en quelque proportion que ce soit, l’achat des indulgences aux œuvres de la miséricorde.</w:t>
      </w:r>
      <w:r w:rsidR="004B2CE4">
        <w:t xml:space="preserve"> 43.</w:t>
      </w:r>
      <w:r>
        <w:t xml:space="preserve"> Il faut apprendre aux chrétiens que celui qui donne aux pauvres ou prête à celui qui est dans le besoin fait mieux que s’il achetait des indulgences. 44. Car, par l’œuvre de la charité, la charité grandit, et l’homme est rendu meilleur, tandis que par les indulgences il n’est pas rendu meilleur, mais est seulement davantage libéré de la peine. 45. Il faut apprendre aux chrétiens que celui qui voit un pauvre et, sans lui prêter attention, donne pour les indulgences, appelle sui lui-même non les indulgences du pape, mais la colère de Dieu. </w:t>
      </w:r>
    </w:p>
    <w:p w14:paraId="35471BE4" w14:textId="77777777" w:rsidR="00B215DC" w:rsidRDefault="00B215DC" w:rsidP="00152D0F">
      <w:r>
        <w:t xml:space="preserve">48. Il faut apprendre aux chrétiens que le pape, lorsqu’il s’agit pour lui de donner les indulgences, a davantage le besoin aussi bien que le désir d’une prière fervente que d’argent disponible. 50. Il faut apprendre aux chrétiens que si le pape connaissait les exactions des prédicateurs d’indulgences, il préférerait que la basilique Saint-Pierre s’en aille en cendres plutôt que de la voir édifiée avec la peau, la chair et les os de ses brebis. </w:t>
      </w:r>
    </w:p>
    <w:p w14:paraId="0405C9C8" w14:textId="77777777" w:rsidR="00B215DC" w:rsidRDefault="00B215DC" w:rsidP="00152D0F">
      <w:r>
        <w:t xml:space="preserve">56. Les trésors de l’Église, d’où le pape tire les indulgences qu’il donne, n’ont été ni suffisamment définis ni assez connus dans le peuple du Christ. 59. Saint-Laurent dit que les trésors de l’Église sont les pauvres de l’Église, mais il a employé ce terme conformément à l’usage de son temps. 62. Le vrai trésor de l’Église, c’est le sacro-saint Évangile de la gloire et de la grâce de Dieu. </w:t>
      </w:r>
    </w:p>
    <w:p w14:paraId="6D1AB55D" w14:textId="77777777" w:rsidR="004B2CE4" w:rsidRDefault="00B215DC" w:rsidP="00152D0F">
      <w:r>
        <w:t xml:space="preserve">86. Pourquoi le pape, dont les richesses sont aujourd’hui plus grosses que celles des Crassus les plus opulents, ne construit-il pas la basilique de Saint-Pierre avec ses propres deniers plutôt qu’avec ceux des pauvres fidèles ? 89. Puisque, par les indulgences, le pape cherche plus le salut des âmes que l’argent, pourquoi suspend-il les lettres et indulgences concédées déjà autrefois, alors qu’elles sont également efficaces ? </w:t>
      </w:r>
    </w:p>
    <w:p w14:paraId="34AC9FB8" w14:textId="77777777" w:rsidR="00B215DC" w:rsidRDefault="00B215DC" w:rsidP="00152D0F">
      <w:r>
        <w:t xml:space="preserve">94. Il faut exhorter les chrétiens à s’appliquer à suivre leur chef, le Christ, à travers les peines, les morts et les enfers. 95. Et à espérer entrer au ciel par de nombreuses tribulations plutôt que par la fausse assurance que donne la paix. </w:t>
      </w:r>
    </w:p>
    <w:p w14:paraId="5D781981" w14:textId="77777777" w:rsidR="00EF7E60" w:rsidRPr="00B215DC" w:rsidRDefault="00F4360C" w:rsidP="0051400C">
      <w:pPr>
        <w:pStyle w:val="Citationsources"/>
        <w:spacing w:before="120"/>
      </w:pPr>
      <w:r>
        <w:t xml:space="preserve">Martin </w:t>
      </w:r>
      <w:r w:rsidRPr="00F4360C">
        <w:rPr>
          <w:smallCaps/>
        </w:rPr>
        <w:t>Luther</w:t>
      </w:r>
      <w:r>
        <w:t xml:space="preserve">, </w:t>
      </w:r>
      <w:r w:rsidR="004458B5">
        <w:rPr>
          <w:i/>
        </w:rPr>
        <w:t xml:space="preserve">Controverse destinée à montrer la vertu des indulgences, </w:t>
      </w:r>
      <w:r w:rsidR="004458B5">
        <w:t xml:space="preserve">dans </w:t>
      </w:r>
      <w:r>
        <w:rPr>
          <w:i/>
        </w:rPr>
        <w:t>Œuvres</w:t>
      </w:r>
      <w:r>
        <w:t xml:space="preserve">, éd. Marc </w:t>
      </w:r>
      <w:r w:rsidRPr="00F4360C">
        <w:rPr>
          <w:smallCaps/>
        </w:rPr>
        <w:t>Lienhard</w:t>
      </w:r>
      <w:r>
        <w:t xml:space="preserve">, </w:t>
      </w:r>
      <w:r w:rsidR="00B215DC">
        <w:br/>
      </w:r>
      <w:r>
        <w:t xml:space="preserve">Mathieu </w:t>
      </w:r>
      <w:r w:rsidRPr="00F4360C">
        <w:rPr>
          <w:smallCaps/>
        </w:rPr>
        <w:t>Arnold</w:t>
      </w:r>
      <w:r>
        <w:t xml:space="preserve">, trad. Jean </w:t>
      </w:r>
      <w:r w:rsidRPr="00F4360C">
        <w:rPr>
          <w:smallCaps/>
        </w:rPr>
        <w:t>Bosc</w:t>
      </w:r>
      <w:r>
        <w:t xml:space="preserve">, Georges </w:t>
      </w:r>
      <w:r w:rsidRPr="00F4360C">
        <w:rPr>
          <w:smallCaps/>
        </w:rPr>
        <w:t>Lagarrigue</w:t>
      </w:r>
      <w:r>
        <w:t xml:space="preserve">, Paris, Gallimard, 1999, vol. 1, p. 135-143. </w:t>
      </w:r>
    </w:p>
    <w:p w14:paraId="63774486" w14:textId="77777777" w:rsidR="00EF7E60" w:rsidRDefault="00EF7E60" w:rsidP="00F77E98">
      <w:pPr>
        <w:pStyle w:val="Titre1"/>
      </w:pPr>
      <w:r>
        <w:lastRenderedPageBreak/>
        <w:t xml:space="preserve">Document 2. </w:t>
      </w:r>
      <w:r w:rsidR="005A6A8F">
        <w:t xml:space="preserve">Luther </w:t>
      </w:r>
      <w:r w:rsidR="001F6E7C">
        <w:t xml:space="preserve">explique ses 95 thèses au pape Léon X </w:t>
      </w:r>
      <w:r w:rsidR="005A6A8F">
        <w:t xml:space="preserve"> </w:t>
      </w:r>
    </w:p>
    <w:p w14:paraId="718CC0A3" w14:textId="77777777" w:rsidR="001039E9" w:rsidRDefault="001039E9" w:rsidP="001039E9">
      <w:r>
        <w:t xml:space="preserve">J’ai entendu dire, Très Saint-Père, qu’on vous avait rapporté des choses détestables à mon sujet, et que certains de vos amis avaient gravement attaqué ma réputation auprès de vous et de vos conseillers, comme si j’avais entrepris de diminuer l’autorité et le pouvoir des clefs qui appartiennent au souverain pontife : c’est pourquoi on m’accuse d’être un hérétique*, un apostat*, un homme perfide – et mille autres noms injurieux. J’en demeure pétrifié d’étonnement et d’horreur, mais il me reste comme unique secours une conscience innocente et tranquille. Ce que j’entends n’est d’ailleurs pas nouveau. </w:t>
      </w:r>
      <w:r>
        <w:rPr>
          <w:rFonts w:ascii="Times New Roman" w:hAnsi="Times New Roman" w:cs="Times New Roman"/>
        </w:rPr>
        <w:t>[</w:t>
      </w:r>
      <w:r>
        <w:t>...</w:t>
      </w:r>
      <w:r>
        <w:rPr>
          <w:rFonts w:ascii="Times New Roman" w:hAnsi="Times New Roman" w:cs="Times New Roman"/>
        </w:rPr>
        <w:t>]</w:t>
      </w:r>
      <w:r>
        <w:t xml:space="preserve"> Daignez donc, Très Saint-Père, écouter l’exposé de cette affaire, de la bouche d’un homme dépourvu de culture et d’éloquence. </w:t>
      </w:r>
    </w:p>
    <w:p w14:paraId="3FC72600" w14:textId="77777777" w:rsidR="001039E9" w:rsidRDefault="001039E9" w:rsidP="001039E9">
      <w:r>
        <w:t xml:space="preserve">On commença récemment chez nous à prêcher les indulgences apostoliques du jubilé, et les choses en vinrent au point que les prédicateurs </w:t>
      </w:r>
      <w:r>
        <w:rPr>
          <w:rFonts w:ascii="Times New Roman" w:hAnsi="Times New Roman" w:cs="Times New Roman"/>
        </w:rPr>
        <w:t>[</w:t>
      </w:r>
      <w:r>
        <w:t>...</w:t>
      </w:r>
      <w:r>
        <w:rPr>
          <w:rFonts w:ascii="Times New Roman" w:hAnsi="Times New Roman" w:cs="Times New Roman"/>
        </w:rPr>
        <w:t>]</w:t>
      </w:r>
      <w:r>
        <w:t xml:space="preserve"> osèrent enseigner en public les pires </w:t>
      </w:r>
      <w:r w:rsidR="004B7673">
        <w:t>impiétés</w:t>
      </w:r>
      <w:r>
        <w:t xml:space="preserve"> et les pires hérésies, jetant ainsi le scandale et la dérision sur le pouvoir de l’Église, comme si les Décrétales relatives à l’abus des trafics ne les concernaient pas. </w:t>
      </w:r>
      <w:r>
        <w:rPr>
          <w:rFonts w:ascii="Times New Roman" w:hAnsi="Times New Roman" w:cs="Times New Roman"/>
        </w:rPr>
        <w:t>[</w:t>
      </w:r>
      <w:r>
        <w:t>...</w:t>
      </w:r>
      <w:r>
        <w:rPr>
          <w:rFonts w:ascii="Times New Roman" w:hAnsi="Times New Roman" w:cs="Times New Roman"/>
        </w:rPr>
        <w:t>]</w:t>
      </w:r>
      <w:r w:rsidR="004B7673">
        <w:t xml:space="preserve"> I</w:t>
      </w:r>
      <w:r>
        <w:t xml:space="preserve">ls grugeaient le peuple par de fausses espérances, </w:t>
      </w:r>
      <w:r w:rsidR="004B7673">
        <w:rPr>
          <w:rFonts w:ascii="Times New Roman" w:hAnsi="Times New Roman" w:cs="Times New Roman"/>
        </w:rPr>
        <w:t>[</w:t>
      </w:r>
      <w:r w:rsidR="004B7673">
        <w:t>...</w:t>
      </w:r>
      <w:r w:rsidR="004B7673">
        <w:rPr>
          <w:rFonts w:ascii="Times New Roman" w:hAnsi="Times New Roman" w:cs="Times New Roman"/>
        </w:rPr>
        <w:t>]</w:t>
      </w:r>
      <w:r>
        <w:t xml:space="preserve">, tandis qu’eux-mêmes pendant ce temps s’en repaissaient et s’engraissaient avec délices. </w:t>
      </w:r>
    </w:p>
    <w:p w14:paraId="5609A058" w14:textId="77777777" w:rsidR="001039E9" w:rsidRDefault="001039E9" w:rsidP="001039E9">
      <w:r>
        <w:t xml:space="preserve">Il y avait pour eux un moyen d’éviter le scandale : c’était la crainte inspirée par votre nom, la menace du bûcher et l’opprobre* attaché au nom d’hérétique. </w:t>
      </w:r>
      <w:r>
        <w:rPr>
          <w:rFonts w:ascii="Times New Roman" w:hAnsi="Times New Roman" w:cs="Times New Roman"/>
        </w:rPr>
        <w:t>[</w:t>
      </w:r>
      <w:r>
        <w:t>...</w:t>
      </w:r>
      <w:r>
        <w:rPr>
          <w:rFonts w:ascii="Times New Roman" w:hAnsi="Times New Roman" w:cs="Times New Roman"/>
        </w:rPr>
        <w:t>]</w:t>
      </w:r>
      <w:r>
        <w:t xml:space="preserve"> C’est pourquoi j’adressai des avertissements personnels à un certain nombre de prélats. Certains d’entre eux m’écoutèrent, d’autres me trouvèrent ridicules, etc. : car partout dominait la crainte inspirée par votre nom et par la menace d’une condamnation. Enfin, ne voyant plus d’autre possibilité, j’eus l’idée de les combattre dans la faible mesure de mes moyens, en mettant en doute leurs doctrines et en provoquant une discussion. C’est ainsi que je publiai mes thèses, en invitant seulement des hommes très doctes à en discuter avec moi : c’est ce qui doit clairement ressortir, même pour mes adversaires, de l’avis qui précédait mes thèses. </w:t>
      </w:r>
    </w:p>
    <w:p w14:paraId="4A5941B6" w14:textId="77777777" w:rsidR="005A6A8F" w:rsidRPr="005A6A8F" w:rsidRDefault="004458B5" w:rsidP="004458B5">
      <w:pPr>
        <w:pStyle w:val="Citationsources"/>
      </w:pPr>
      <w:r>
        <w:t xml:space="preserve">Lettre de Martin Luther </w:t>
      </w:r>
      <w:r w:rsidR="001039E9">
        <w:t>au pape Léon X, 30 mai 1518, édité</w:t>
      </w:r>
      <w:r w:rsidR="00614313">
        <w:t>e</w:t>
      </w:r>
      <w:r w:rsidR="001039E9">
        <w:t xml:space="preserve"> dans </w:t>
      </w:r>
      <w:r>
        <w:t xml:space="preserve">Martin </w:t>
      </w:r>
      <w:r w:rsidRPr="00F4360C">
        <w:rPr>
          <w:smallCaps/>
        </w:rPr>
        <w:t>Luther</w:t>
      </w:r>
      <w:r>
        <w:t xml:space="preserve">, </w:t>
      </w:r>
      <w:r>
        <w:rPr>
          <w:i/>
        </w:rPr>
        <w:t>Œuvres</w:t>
      </w:r>
      <w:r>
        <w:t xml:space="preserve">, </w:t>
      </w:r>
      <w:r w:rsidR="00614313">
        <w:br/>
      </w:r>
      <w:r>
        <w:t xml:space="preserve">éd. Marc </w:t>
      </w:r>
      <w:r w:rsidRPr="00F4360C">
        <w:rPr>
          <w:smallCaps/>
        </w:rPr>
        <w:t>Lienhard</w:t>
      </w:r>
      <w:r>
        <w:t xml:space="preserve">, Mathieu </w:t>
      </w:r>
      <w:r w:rsidRPr="00F4360C">
        <w:rPr>
          <w:smallCaps/>
        </w:rPr>
        <w:t>Arnold</w:t>
      </w:r>
      <w:r>
        <w:t>, Paris, Gallimard, 1999, vol. 1, p.</w:t>
      </w:r>
      <w:r w:rsidR="00EE20DB">
        <w:t> 203-206</w:t>
      </w:r>
      <w:r>
        <w:t>.</w:t>
      </w:r>
    </w:p>
    <w:p w14:paraId="5D3AB29D" w14:textId="77777777" w:rsidR="00E97C70" w:rsidRDefault="00E97C70" w:rsidP="00E97C70">
      <w:pPr>
        <w:pStyle w:val="Titre1"/>
      </w:pPr>
      <w:r>
        <w:sym w:font="Wingdings" w:char="F043"/>
      </w:r>
      <w:r>
        <w:t xml:space="preserve"> Une ressource inestimable : les notes d’édition </w:t>
      </w:r>
    </w:p>
    <w:tbl>
      <w:tblPr>
        <w:tblStyle w:val="Grilledutableau"/>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gridCol w:w="1417"/>
      </w:tblGrid>
      <w:tr w:rsidR="004B7673" w14:paraId="7EBE1866" w14:textId="77777777" w:rsidTr="002E76FE">
        <w:tc>
          <w:tcPr>
            <w:tcW w:w="8364" w:type="dxa"/>
          </w:tcPr>
          <w:p w14:paraId="2FE32686" w14:textId="77777777" w:rsidR="004B7673" w:rsidRPr="007A1C0B" w:rsidRDefault="004B7673" w:rsidP="002E76FE">
            <w:pPr>
              <w:pStyle w:val="Sansinterligne"/>
              <w:ind w:left="35"/>
              <w:jc w:val="both"/>
              <w:rPr>
                <w:sz w:val="22"/>
              </w:rPr>
            </w:pPr>
            <w:r>
              <w:rPr>
                <w:sz w:val="22"/>
              </w:rPr>
              <w:t xml:space="preserve">La plupart des éditions de sources sont des éditions « commentées » et annotées. L’introduction, mais aussi et surtout les notes, permettent aux éditeurs – qui sont des scientifiques ayant travaillé sur le texte – de préciser des points et d’apporter une série d’éléments factuels à la connaissance du lecteur. Ces notes constituent une réserve inestimable d’informations et permettent de ne pas refaire un travail souvent de qualité. </w:t>
            </w:r>
            <w:r w:rsidRPr="007A1C0B">
              <w:rPr>
                <w:sz w:val="22"/>
              </w:rPr>
              <w:t xml:space="preserve"> </w:t>
            </w:r>
          </w:p>
        </w:tc>
        <w:tc>
          <w:tcPr>
            <w:tcW w:w="1417" w:type="dxa"/>
            <w:vMerge w:val="restart"/>
            <w:vAlign w:val="bottom"/>
          </w:tcPr>
          <w:p w14:paraId="3849B554" w14:textId="77777777" w:rsidR="004B7673" w:rsidRPr="0000002D" w:rsidRDefault="00CB32FC" w:rsidP="002E76FE">
            <w:pPr>
              <w:ind w:firstLine="0"/>
              <w:jc w:val="center"/>
            </w:pPr>
            <w:r>
              <w:rPr>
                <w:noProof/>
              </w:rPr>
              <w:drawing>
                <wp:inline distT="0" distB="0" distL="0" distR="0" wp14:anchorId="48204D11" wp14:editId="1A395A86">
                  <wp:extent cx="762635" cy="762635"/>
                  <wp:effectExtent l="0" t="0" r="0" b="0"/>
                  <wp:docPr id="31" name="Image 31">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a:hlinkClick r:id="rId60"/>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62635" cy="762635"/>
                          </a:xfrm>
                          <a:prstGeom prst="rect">
                            <a:avLst/>
                          </a:prstGeom>
                        </pic:spPr>
                      </pic:pic>
                    </a:graphicData>
                  </a:graphic>
                </wp:inline>
              </w:drawing>
            </w:r>
          </w:p>
        </w:tc>
      </w:tr>
      <w:tr w:rsidR="004B7673" w14:paraId="0E32D6BB" w14:textId="77777777" w:rsidTr="002E76FE">
        <w:trPr>
          <w:trHeight w:val="178"/>
        </w:trPr>
        <w:tc>
          <w:tcPr>
            <w:tcW w:w="8364" w:type="dxa"/>
          </w:tcPr>
          <w:p w14:paraId="5DBB0CCB" w14:textId="77777777" w:rsidR="004B7673" w:rsidRPr="00BE0D7D" w:rsidRDefault="004B7673" w:rsidP="002E76FE">
            <w:pPr>
              <w:spacing w:before="80"/>
              <w:jc w:val="right"/>
            </w:pPr>
            <w:r>
              <w:rPr>
                <w:i/>
              </w:rPr>
              <w:t xml:space="preserve">Les notes </w:t>
            </w:r>
            <w:r w:rsidR="00161D5C">
              <w:rPr>
                <w:i/>
              </w:rPr>
              <w:t>d’édition des textes</w:t>
            </w:r>
            <w:r>
              <w:rPr>
                <w:i/>
              </w:rPr>
              <w:t xml:space="preserve"> de Luther (doc. 1 et 2) sont disponibles sur Moodle et via le lien ici</w:t>
            </w:r>
            <w:r>
              <w:t xml:space="preserve"> </w:t>
            </w:r>
            <w:r>
              <w:sym w:font="Wingdings" w:char="F0E0"/>
            </w:r>
          </w:p>
        </w:tc>
        <w:tc>
          <w:tcPr>
            <w:tcW w:w="1417" w:type="dxa"/>
            <w:vMerge/>
          </w:tcPr>
          <w:p w14:paraId="6BE6BECE" w14:textId="77777777" w:rsidR="004B7673" w:rsidRDefault="004B7673" w:rsidP="002E76FE"/>
        </w:tc>
      </w:tr>
    </w:tbl>
    <w:p w14:paraId="4F647B01" w14:textId="77777777" w:rsidR="00F77E98" w:rsidRDefault="00F77E98" w:rsidP="00F77E98">
      <w:pPr>
        <w:pStyle w:val="Titre1"/>
      </w:pPr>
      <w:r>
        <w:sym w:font="Wingdings" w:char="F043"/>
      </w:r>
      <w:r>
        <w:t xml:space="preserve"> Préparer intelligemment la séance de TD </w:t>
      </w:r>
    </w:p>
    <w:tbl>
      <w:tblPr>
        <w:tblStyle w:val="Grilledutableau"/>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gridCol w:w="1417"/>
      </w:tblGrid>
      <w:tr w:rsidR="00F77E98" w14:paraId="5647A262" w14:textId="77777777" w:rsidTr="00F77E98">
        <w:tc>
          <w:tcPr>
            <w:tcW w:w="8364" w:type="dxa"/>
          </w:tcPr>
          <w:p w14:paraId="5CCFC29B" w14:textId="77777777" w:rsidR="00F77E98" w:rsidRPr="007A1C0B" w:rsidRDefault="00F77E98" w:rsidP="00C6480B">
            <w:pPr>
              <w:pStyle w:val="Sansinterligne"/>
              <w:ind w:left="35"/>
              <w:jc w:val="both"/>
              <w:rPr>
                <w:sz w:val="22"/>
              </w:rPr>
            </w:pPr>
            <w:r>
              <w:rPr>
                <w:sz w:val="22"/>
              </w:rPr>
              <w:t xml:space="preserve">Le site </w:t>
            </w:r>
            <w:r>
              <w:rPr>
                <w:i/>
                <w:sz w:val="22"/>
              </w:rPr>
              <w:t>EHNE (Encyclopédie pour une Histoire Nouvelle de l’Europe</w:t>
            </w:r>
            <w:r>
              <w:rPr>
                <w:sz w:val="22"/>
              </w:rPr>
              <w:t xml:space="preserve">) propose un ensemble de notices de références, actualisées et accessibles librement en ligne. On y trouve notamment une notice consacrée aux 95 thèses de Luther, écrite par Marion </w:t>
            </w:r>
            <w:proofErr w:type="spellStart"/>
            <w:r w:rsidRPr="00161D5C">
              <w:rPr>
                <w:smallCaps/>
                <w:sz w:val="22"/>
              </w:rPr>
              <w:t>Deschamp</w:t>
            </w:r>
            <w:proofErr w:type="spellEnd"/>
            <w:r>
              <w:rPr>
                <w:sz w:val="22"/>
              </w:rPr>
              <w:t xml:space="preserve">, maîtresse de conférences en histoire moderne à l’université de Lorraine et spécialiste des questions religieuses dans l’espace germanique. Elle y remet en contexte l’écriture et la postérité de ce texte. </w:t>
            </w:r>
            <w:r w:rsidRPr="007A1C0B">
              <w:rPr>
                <w:sz w:val="22"/>
              </w:rPr>
              <w:t xml:space="preserve"> </w:t>
            </w:r>
          </w:p>
        </w:tc>
        <w:tc>
          <w:tcPr>
            <w:tcW w:w="1417" w:type="dxa"/>
            <w:vMerge w:val="restart"/>
            <w:vAlign w:val="bottom"/>
          </w:tcPr>
          <w:p w14:paraId="2969AE12" w14:textId="77777777" w:rsidR="00F77E98" w:rsidRPr="0000002D" w:rsidRDefault="00F77E98" w:rsidP="00F77E98">
            <w:pPr>
              <w:ind w:firstLine="0"/>
              <w:jc w:val="center"/>
            </w:pPr>
            <w:r>
              <w:rPr>
                <w:noProof/>
              </w:rPr>
              <w:drawing>
                <wp:inline distT="0" distB="0" distL="0" distR="0" wp14:anchorId="255275E3" wp14:editId="67814993">
                  <wp:extent cx="762635" cy="762635"/>
                  <wp:effectExtent l="0" t="0" r="0" b="0"/>
                  <wp:docPr id="22" name="Image 22">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a:hlinkClick r:id="rId62"/>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62635" cy="762635"/>
                          </a:xfrm>
                          <a:prstGeom prst="rect">
                            <a:avLst/>
                          </a:prstGeom>
                        </pic:spPr>
                      </pic:pic>
                    </a:graphicData>
                  </a:graphic>
                </wp:inline>
              </w:drawing>
            </w:r>
          </w:p>
        </w:tc>
      </w:tr>
      <w:tr w:rsidR="00F77E98" w14:paraId="571908EA" w14:textId="77777777" w:rsidTr="00C6480B">
        <w:trPr>
          <w:trHeight w:val="178"/>
        </w:trPr>
        <w:tc>
          <w:tcPr>
            <w:tcW w:w="8364" w:type="dxa"/>
          </w:tcPr>
          <w:p w14:paraId="152D6C23" w14:textId="77777777" w:rsidR="00F77E98" w:rsidRPr="00BE0D7D" w:rsidRDefault="00F77E98" w:rsidP="00C6480B">
            <w:pPr>
              <w:spacing w:before="80"/>
              <w:jc w:val="right"/>
            </w:pPr>
            <w:r>
              <w:rPr>
                <w:i/>
              </w:rPr>
              <w:t xml:space="preserve">La notice de Marion </w:t>
            </w:r>
            <w:proofErr w:type="spellStart"/>
            <w:r w:rsidRPr="00161D5C">
              <w:rPr>
                <w:i/>
              </w:rPr>
              <w:t>Deschamp</w:t>
            </w:r>
            <w:proofErr w:type="spellEnd"/>
            <w:r w:rsidRPr="007A1C0B">
              <w:rPr>
                <w:i/>
              </w:rPr>
              <w:t xml:space="preserve"> se trouve ici</w:t>
            </w:r>
            <w:r>
              <w:t xml:space="preserve"> </w:t>
            </w:r>
            <w:r>
              <w:sym w:font="Wingdings" w:char="F0E0"/>
            </w:r>
          </w:p>
        </w:tc>
        <w:tc>
          <w:tcPr>
            <w:tcW w:w="1417" w:type="dxa"/>
            <w:vMerge/>
          </w:tcPr>
          <w:p w14:paraId="0A9A28B9" w14:textId="77777777" w:rsidR="00F77E98" w:rsidRDefault="00F77E98" w:rsidP="00C6480B"/>
        </w:tc>
      </w:tr>
    </w:tbl>
    <w:p w14:paraId="7677CC53" w14:textId="77777777" w:rsidR="00F77E98" w:rsidRPr="00C74236" w:rsidRDefault="00F77E98" w:rsidP="00F77E98">
      <w:pPr>
        <w:pStyle w:val="Titre1"/>
      </w:pPr>
      <w:r w:rsidRPr="00C74236">
        <w:sym w:font="Wingdings" w:char="F026"/>
      </w:r>
      <w:r w:rsidRPr="00C74236">
        <w:t xml:space="preserve"> Bibliographie sélective</w:t>
      </w:r>
    </w:p>
    <w:p w14:paraId="6CE68BC1" w14:textId="77777777" w:rsidR="007C0158" w:rsidRDefault="007C0158" w:rsidP="001B78F5">
      <w:pPr>
        <w:pStyle w:val="Sansinterligne"/>
        <w:spacing w:before="80" w:after="80" w:line="276" w:lineRule="auto"/>
        <w:rPr>
          <w:color w:val="000000" w:themeColor="text1"/>
          <w:sz w:val="21"/>
          <w:szCs w:val="21"/>
        </w:rPr>
      </w:pPr>
      <w:r>
        <w:rPr>
          <w:smallCaps/>
          <w:sz w:val="21"/>
          <w:szCs w:val="21"/>
        </w:rPr>
        <w:t>Arnold</w:t>
      </w:r>
      <w:r w:rsidRPr="003D5A2C">
        <w:rPr>
          <w:smallCaps/>
          <w:sz w:val="21"/>
          <w:szCs w:val="21"/>
        </w:rPr>
        <w:t xml:space="preserve">, </w:t>
      </w:r>
      <w:r>
        <w:rPr>
          <w:sz w:val="21"/>
          <w:szCs w:val="21"/>
        </w:rPr>
        <w:t xml:space="preserve">Mathieu, « Les 95 thèses </w:t>
      </w:r>
      <w:r w:rsidRPr="007A0B39">
        <w:rPr>
          <w:color w:val="000000" w:themeColor="text1"/>
          <w:sz w:val="21"/>
          <w:szCs w:val="21"/>
        </w:rPr>
        <w:t xml:space="preserve">de Martin Luther, un texte réformateur ? », </w:t>
      </w:r>
      <w:r>
        <w:rPr>
          <w:color w:val="000000" w:themeColor="text1"/>
          <w:sz w:val="21"/>
          <w:szCs w:val="21"/>
        </w:rPr>
        <w:br/>
        <w:t xml:space="preserve">  </w:t>
      </w:r>
      <w:r w:rsidRPr="007A0B39">
        <w:rPr>
          <w:i/>
          <w:color w:val="000000" w:themeColor="text1"/>
          <w:sz w:val="21"/>
          <w:szCs w:val="21"/>
        </w:rPr>
        <w:t xml:space="preserve">Comptes rendus des séances de l’Académie des Inscriptions et Belles-Lettres, </w:t>
      </w:r>
      <w:r w:rsidRPr="007A0B39">
        <w:rPr>
          <w:color w:val="000000" w:themeColor="text1"/>
          <w:sz w:val="21"/>
          <w:szCs w:val="21"/>
        </w:rPr>
        <w:t xml:space="preserve">162-3, 2018, p. 1391-1406, </w:t>
      </w:r>
      <w:r w:rsidRPr="007A0B39">
        <w:rPr>
          <w:rFonts w:ascii="Times New Roman" w:hAnsi="Times New Roman" w:cs="Times New Roman"/>
          <w:color w:val="000000" w:themeColor="text1"/>
          <w:sz w:val="21"/>
          <w:szCs w:val="21"/>
        </w:rPr>
        <w:t>[</w:t>
      </w:r>
      <w:hyperlink r:id="rId64" w:history="1">
        <w:r w:rsidRPr="007A0B39">
          <w:rPr>
            <w:rStyle w:val="Lienhypertexte"/>
            <w:color w:val="000000" w:themeColor="text1"/>
            <w:sz w:val="21"/>
            <w:szCs w:val="21"/>
          </w:rPr>
          <w:t>En ligne</w:t>
        </w:r>
      </w:hyperlink>
      <w:r w:rsidRPr="007A0B39">
        <w:rPr>
          <w:rFonts w:ascii="Times New Roman" w:hAnsi="Times New Roman" w:cs="Times New Roman"/>
          <w:color w:val="000000" w:themeColor="text1"/>
          <w:sz w:val="21"/>
          <w:szCs w:val="21"/>
        </w:rPr>
        <w:t>]</w:t>
      </w:r>
      <w:r w:rsidRPr="007A0B39">
        <w:rPr>
          <w:color w:val="000000" w:themeColor="text1"/>
          <w:sz w:val="21"/>
          <w:szCs w:val="21"/>
        </w:rPr>
        <w:t xml:space="preserve">. </w:t>
      </w:r>
    </w:p>
    <w:p w14:paraId="638C51D7" w14:textId="77777777" w:rsidR="007C0158" w:rsidRDefault="007C0158" w:rsidP="001B78F5">
      <w:pPr>
        <w:pStyle w:val="Sansinterligne"/>
        <w:spacing w:before="80" w:after="80" w:line="276" w:lineRule="auto"/>
        <w:rPr>
          <w:sz w:val="21"/>
          <w:szCs w:val="21"/>
        </w:rPr>
      </w:pPr>
      <w:r w:rsidRPr="007A0B39">
        <w:rPr>
          <w:smallCaps/>
          <w:sz w:val="21"/>
          <w:szCs w:val="21"/>
        </w:rPr>
        <w:t>Arnold</w:t>
      </w:r>
      <w:r>
        <w:rPr>
          <w:sz w:val="21"/>
          <w:szCs w:val="21"/>
        </w:rPr>
        <w:t xml:space="preserve">, Mathieu, </w:t>
      </w:r>
      <w:proofErr w:type="spellStart"/>
      <w:r w:rsidRPr="007A0B39">
        <w:rPr>
          <w:smallCaps/>
          <w:sz w:val="21"/>
          <w:szCs w:val="21"/>
        </w:rPr>
        <w:t>Lehmkühler</w:t>
      </w:r>
      <w:proofErr w:type="spellEnd"/>
      <w:r>
        <w:rPr>
          <w:sz w:val="21"/>
          <w:szCs w:val="21"/>
        </w:rPr>
        <w:t xml:space="preserve">, Karsten, </w:t>
      </w:r>
      <w:r w:rsidRPr="007A0B39">
        <w:rPr>
          <w:smallCaps/>
          <w:sz w:val="21"/>
          <w:szCs w:val="21"/>
        </w:rPr>
        <w:t>Viard</w:t>
      </w:r>
      <w:r>
        <w:rPr>
          <w:sz w:val="21"/>
          <w:szCs w:val="21"/>
        </w:rPr>
        <w:t xml:space="preserve">, Marc (dir.), </w:t>
      </w:r>
      <w:r>
        <w:rPr>
          <w:i/>
          <w:sz w:val="21"/>
          <w:szCs w:val="21"/>
        </w:rPr>
        <w:t xml:space="preserve">« La vie toute entière est pénitence ... ». </w:t>
      </w:r>
      <w:r>
        <w:rPr>
          <w:i/>
          <w:sz w:val="21"/>
          <w:szCs w:val="21"/>
        </w:rPr>
        <w:br/>
        <w:t xml:space="preserve">   Les 95 thèses de Martin Luther (1517)</w:t>
      </w:r>
      <w:r>
        <w:rPr>
          <w:sz w:val="21"/>
          <w:szCs w:val="21"/>
        </w:rPr>
        <w:t xml:space="preserve">, Strasbourg, Presses universitaires de Strasbourg, 2018. </w:t>
      </w:r>
    </w:p>
    <w:p w14:paraId="192C8025" w14:textId="77777777" w:rsidR="007C0158" w:rsidRDefault="007C0158" w:rsidP="001B78F5">
      <w:pPr>
        <w:pStyle w:val="Sansinterligne"/>
        <w:spacing w:before="80" w:after="80" w:line="276" w:lineRule="auto"/>
        <w:rPr>
          <w:sz w:val="21"/>
          <w:szCs w:val="21"/>
        </w:rPr>
      </w:pPr>
      <w:proofErr w:type="spellStart"/>
      <w:r>
        <w:rPr>
          <w:smallCaps/>
          <w:sz w:val="21"/>
          <w:szCs w:val="21"/>
        </w:rPr>
        <w:t>Krumenacker</w:t>
      </w:r>
      <w:proofErr w:type="spellEnd"/>
      <w:r>
        <w:rPr>
          <w:sz w:val="21"/>
          <w:szCs w:val="21"/>
        </w:rPr>
        <w:t xml:space="preserve">, Yves, </w:t>
      </w:r>
      <w:r>
        <w:rPr>
          <w:i/>
          <w:sz w:val="21"/>
          <w:szCs w:val="21"/>
        </w:rPr>
        <w:t>Luther</w:t>
      </w:r>
      <w:r>
        <w:rPr>
          <w:sz w:val="21"/>
          <w:szCs w:val="21"/>
        </w:rPr>
        <w:t xml:space="preserve">, Paris, Ellipses, 2017, p. 115-130. </w:t>
      </w:r>
    </w:p>
    <w:p w14:paraId="5B3CD984" w14:textId="77777777" w:rsidR="007C0158" w:rsidRPr="004B7673" w:rsidRDefault="007C0158" w:rsidP="001B78F5">
      <w:pPr>
        <w:pStyle w:val="Sansinterligne"/>
        <w:spacing w:before="80" w:after="80" w:line="276" w:lineRule="auto"/>
        <w:rPr>
          <w:sz w:val="21"/>
          <w:szCs w:val="21"/>
        </w:rPr>
      </w:pPr>
      <w:proofErr w:type="spellStart"/>
      <w:r w:rsidRPr="007A0B39">
        <w:rPr>
          <w:smallCaps/>
          <w:sz w:val="21"/>
          <w:szCs w:val="21"/>
        </w:rPr>
        <w:t>Pettegree</w:t>
      </w:r>
      <w:proofErr w:type="spellEnd"/>
      <w:r>
        <w:rPr>
          <w:sz w:val="21"/>
          <w:szCs w:val="21"/>
        </w:rPr>
        <w:t xml:space="preserve">, Andrew, </w:t>
      </w:r>
      <w:r>
        <w:rPr>
          <w:i/>
          <w:sz w:val="21"/>
          <w:szCs w:val="21"/>
        </w:rPr>
        <w:t xml:space="preserve">Brand Luther. 1517, Printing and the </w:t>
      </w:r>
      <w:proofErr w:type="spellStart"/>
      <w:r>
        <w:rPr>
          <w:i/>
          <w:sz w:val="21"/>
          <w:szCs w:val="21"/>
        </w:rPr>
        <w:t>Making</w:t>
      </w:r>
      <w:proofErr w:type="spellEnd"/>
      <w:r>
        <w:rPr>
          <w:i/>
          <w:sz w:val="21"/>
          <w:szCs w:val="21"/>
        </w:rPr>
        <w:t xml:space="preserve"> of the Reformation</w:t>
      </w:r>
      <w:r>
        <w:rPr>
          <w:sz w:val="21"/>
          <w:szCs w:val="21"/>
        </w:rPr>
        <w:t xml:space="preserve">, New York, Penguin </w:t>
      </w:r>
      <w:proofErr w:type="spellStart"/>
      <w:r>
        <w:rPr>
          <w:sz w:val="21"/>
          <w:szCs w:val="21"/>
        </w:rPr>
        <w:t>Press</w:t>
      </w:r>
      <w:proofErr w:type="spellEnd"/>
      <w:r>
        <w:rPr>
          <w:sz w:val="21"/>
          <w:szCs w:val="21"/>
        </w:rPr>
        <w:t xml:space="preserve">, 2015. </w:t>
      </w:r>
    </w:p>
    <w:p w14:paraId="48718122" w14:textId="77777777" w:rsidR="007E0B8A" w:rsidRDefault="007E0B8A" w:rsidP="007E0B8A">
      <w:pPr>
        <w:pStyle w:val="Titre"/>
      </w:pPr>
      <w:bookmarkStart w:id="13" w:name="_Toc185425573"/>
      <w:r>
        <w:lastRenderedPageBreak/>
        <w:t>Annexe 1</w:t>
      </w:r>
      <w:r>
        <w:br/>
      </w:r>
      <w:r>
        <w:rPr>
          <w:b/>
        </w:rPr>
        <w:t>Comprendre et normer des références bibliographiques</w:t>
      </w:r>
      <w:bookmarkEnd w:id="13"/>
      <w:r>
        <w:rPr>
          <w:b/>
        </w:rPr>
        <w:t xml:space="preserve"> </w:t>
      </w:r>
      <w:r>
        <w:t xml:space="preserve"> </w:t>
      </w:r>
      <w:r w:rsidRPr="009D6DD9">
        <w:t xml:space="preserve"> </w:t>
      </w:r>
    </w:p>
    <w:p w14:paraId="4573C992" w14:textId="77777777" w:rsidR="007E0B8A" w:rsidRPr="007E0B8A" w:rsidRDefault="007E0B8A" w:rsidP="007E0B8A">
      <w:pPr>
        <w:pStyle w:val="Biblio"/>
        <w:jc w:val="both"/>
        <w:rPr>
          <w:smallCaps w:val="0"/>
        </w:rPr>
      </w:pPr>
      <w:r w:rsidRPr="007E0B8A">
        <w:rPr>
          <w:smallCaps w:val="0"/>
        </w:rPr>
        <w:t>La bibliographie est l’un des outils clés pour se repérer dans la littérature scientifique. Tout travail rendu à l’université doit être, dans l’idéal, accompagné d’une bibliographie précise – montrant toutes les références employées à la réalisation dudit travail – et correctement présentée. Les codes diffèrent selon les régions du monde et les disciplines. Ce bref guide vise à présenter les codes de citation les plus fréquemment utilisés en histoire et en France</w:t>
      </w:r>
      <w:r>
        <w:rPr>
          <w:smallCaps w:val="0"/>
        </w:rPr>
        <w:t> : celles de l’imprimerie nationale</w:t>
      </w:r>
      <w:r w:rsidRPr="007E0B8A">
        <w:rPr>
          <w:smallCaps w:val="0"/>
        </w:rPr>
        <w:t xml:space="preserve">. </w:t>
      </w:r>
    </w:p>
    <w:p w14:paraId="0608C62D" w14:textId="77777777" w:rsidR="007E0B8A" w:rsidRPr="007E0B8A" w:rsidRDefault="007E0B8A" w:rsidP="007E0B8A">
      <w:pPr>
        <w:pStyle w:val="Biblio"/>
        <w:spacing w:before="120"/>
        <w:rPr>
          <w:smallCaps w:val="0"/>
        </w:rPr>
      </w:pPr>
      <w:r w:rsidRPr="007E0B8A">
        <w:rPr>
          <w:smallCaps w:val="0"/>
        </w:rPr>
        <w:t>1/ Dans le cas d’</w:t>
      </w:r>
      <w:r w:rsidRPr="007E0B8A">
        <w:rPr>
          <w:b/>
          <w:smallCaps w:val="0"/>
        </w:rPr>
        <w:t>un livre</w:t>
      </w:r>
      <w:r w:rsidRPr="007E0B8A">
        <w:rPr>
          <w:smallCaps w:val="0"/>
        </w:rPr>
        <w:t xml:space="preserve">, la règle la plus commune est la suivante : </w:t>
      </w:r>
    </w:p>
    <w:p w14:paraId="19A7618D" w14:textId="77777777" w:rsidR="007E0B8A" w:rsidRPr="00607133" w:rsidRDefault="007E0B8A" w:rsidP="007E0B8A">
      <w:pPr>
        <w:jc w:val="center"/>
      </w:pPr>
      <w:r w:rsidRPr="00607133">
        <w:rPr>
          <w:smallCaps/>
        </w:rPr>
        <w:t>Nom de l’auteur</w:t>
      </w:r>
      <w:r w:rsidRPr="00607133">
        <w:t xml:space="preserve">, Prénom de l’auteur, </w:t>
      </w:r>
      <w:r w:rsidRPr="00607133">
        <w:rPr>
          <w:i/>
        </w:rPr>
        <w:t>Titre de l’ouvrage</w:t>
      </w:r>
      <w:r w:rsidRPr="00607133">
        <w:t xml:space="preserve">, </w:t>
      </w:r>
      <w:r w:rsidRPr="00607133">
        <w:br/>
        <w:t>Lieu d’édition, Éditeur, Année de parution.</w:t>
      </w:r>
    </w:p>
    <w:p w14:paraId="4556105A" w14:textId="77777777" w:rsidR="007E0B8A" w:rsidRPr="00607133" w:rsidRDefault="007E0B8A" w:rsidP="007E0B8A">
      <w:pPr>
        <w:jc w:val="center"/>
        <w:rPr>
          <w:sz w:val="21"/>
        </w:rPr>
      </w:pPr>
      <w:r w:rsidRPr="00607133">
        <w:rPr>
          <w:sz w:val="21"/>
        </w:rPr>
        <w:t xml:space="preserve">Ainsi avec un exemple concret : </w:t>
      </w:r>
      <w:r w:rsidRPr="00607133">
        <w:rPr>
          <w:sz w:val="21"/>
        </w:rPr>
        <w:br/>
      </w:r>
      <w:proofErr w:type="spellStart"/>
      <w:r w:rsidRPr="00607133">
        <w:rPr>
          <w:smallCaps/>
          <w:sz w:val="21"/>
        </w:rPr>
        <w:t>Bély</w:t>
      </w:r>
      <w:proofErr w:type="spellEnd"/>
      <w:r w:rsidRPr="00607133">
        <w:rPr>
          <w:sz w:val="21"/>
        </w:rPr>
        <w:t xml:space="preserve">, Lucien, </w:t>
      </w:r>
      <w:r w:rsidRPr="00607133">
        <w:rPr>
          <w:i/>
          <w:sz w:val="21"/>
        </w:rPr>
        <w:t>Espions et ambassadeurs : au temps de Louis XIV</w:t>
      </w:r>
      <w:r w:rsidRPr="00607133">
        <w:rPr>
          <w:sz w:val="21"/>
        </w:rPr>
        <w:t>, Paris, Fayard, 1990.</w:t>
      </w:r>
    </w:p>
    <w:p w14:paraId="11BE1408" w14:textId="77777777" w:rsidR="007E0B8A" w:rsidRPr="007E0B8A" w:rsidRDefault="007E0B8A" w:rsidP="007E0B8A">
      <w:pPr>
        <w:pStyle w:val="Biblio"/>
        <w:spacing w:before="240"/>
        <w:rPr>
          <w:smallCaps w:val="0"/>
        </w:rPr>
      </w:pPr>
      <w:r w:rsidRPr="007E0B8A">
        <w:rPr>
          <w:smallCaps w:val="0"/>
        </w:rPr>
        <w:t xml:space="preserve">2/ Pour citer </w:t>
      </w:r>
      <w:r w:rsidRPr="007E0B8A">
        <w:rPr>
          <w:b/>
          <w:smallCaps w:val="0"/>
        </w:rPr>
        <w:t xml:space="preserve">un chapitre de livre </w:t>
      </w:r>
      <w:r w:rsidRPr="007E0B8A">
        <w:rPr>
          <w:smallCaps w:val="0"/>
        </w:rPr>
        <w:t xml:space="preserve">(collectif), ou une </w:t>
      </w:r>
      <w:r w:rsidRPr="007E0B8A">
        <w:rPr>
          <w:b/>
          <w:smallCaps w:val="0"/>
        </w:rPr>
        <w:t>notice de dictionnaire</w:t>
      </w:r>
      <w:r w:rsidRPr="007E0B8A">
        <w:rPr>
          <w:smallCaps w:val="0"/>
        </w:rPr>
        <w:t xml:space="preserve">, on procède ainsi :  </w:t>
      </w:r>
    </w:p>
    <w:p w14:paraId="44132763" w14:textId="77777777" w:rsidR="007E0B8A" w:rsidRPr="00607133" w:rsidRDefault="007E0B8A" w:rsidP="007E0B8A">
      <w:pPr>
        <w:jc w:val="center"/>
        <w:rPr>
          <w:szCs w:val="23"/>
        </w:rPr>
      </w:pPr>
      <w:r w:rsidRPr="00607133">
        <w:rPr>
          <w:smallCaps/>
          <w:szCs w:val="23"/>
        </w:rPr>
        <w:t xml:space="preserve">Nom de l’auteur </w:t>
      </w:r>
      <w:r w:rsidRPr="00607133">
        <w:rPr>
          <w:szCs w:val="23"/>
        </w:rPr>
        <w:t xml:space="preserve">(du chapitre), Prénom, « Titre de la notice ou du chapitre », </w:t>
      </w:r>
      <w:r w:rsidRPr="00607133">
        <w:rPr>
          <w:szCs w:val="23"/>
        </w:rPr>
        <w:br/>
        <w:t>dans Prénom</w:t>
      </w:r>
      <w:r w:rsidR="008B4B0F">
        <w:rPr>
          <w:szCs w:val="23"/>
        </w:rPr>
        <w:t xml:space="preserve"> </w:t>
      </w:r>
      <w:r w:rsidR="008B4B0F" w:rsidRPr="00607133">
        <w:rPr>
          <w:smallCaps/>
          <w:szCs w:val="23"/>
        </w:rPr>
        <w:t>Nom du directeur de l’ouvrage</w:t>
      </w:r>
      <w:r w:rsidR="008B4B0F">
        <w:rPr>
          <w:szCs w:val="23"/>
        </w:rPr>
        <w:t xml:space="preserve"> (dir.),</w:t>
      </w:r>
      <w:r w:rsidRPr="00607133">
        <w:rPr>
          <w:szCs w:val="23"/>
        </w:rPr>
        <w:t xml:space="preserve"> </w:t>
      </w:r>
      <w:r w:rsidRPr="00607133">
        <w:rPr>
          <w:i/>
          <w:szCs w:val="23"/>
        </w:rPr>
        <w:t>Titre de l’ouvrage</w:t>
      </w:r>
      <w:r w:rsidRPr="00607133">
        <w:rPr>
          <w:szCs w:val="23"/>
        </w:rPr>
        <w:t xml:space="preserve">, </w:t>
      </w:r>
      <w:r w:rsidRPr="00607133">
        <w:rPr>
          <w:szCs w:val="23"/>
        </w:rPr>
        <w:br/>
        <w:t>Lieu d’édition, Éditeur, Année de parution, p. x-y.</w:t>
      </w:r>
    </w:p>
    <w:p w14:paraId="2DDAC873" w14:textId="77777777" w:rsidR="007E0B8A" w:rsidRPr="00607133" w:rsidRDefault="007E0B8A" w:rsidP="007E0B8A">
      <w:pPr>
        <w:jc w:val="center"/>
        <w:rPr>
          <w:sz w:val="21"/>
          <w:szCs w:val="21"/>
        </w:rPr>
      </w:pPr>
      <w:r w:rsidRPr="00607133">
        <w:rPr>
          <w:sz w:val="21"/>
          <w:szCs w:val="21"/>
        </w:rPr>
        <w:t xml:space="preserve">Ainsi avec un exemple concret (pour un chapitre) : </w:t>
      </w:r>
      <w:r w:rsidRPr="00607133">
        <w:rPr>
          <w:sz w:val="21"/>
          <w:szCs w:val="21"/>
        </w:rPr>
        <w:br/>
        <w:t>Patrick</w:t>
      </w:r>
      <w:r w:rsidR="008B4B0F">
        <w:rPr>
          <w:sz w:val="21"/>
          <w:szCs w:val="21"/>
        </w:rPr>
        <w:t xml:space="preserve"> </w:t>
      </w:r>
      <w:r w:rsidR="008B4B0F" w:rsidRPr="008B4B0F">
        <w:rPr>
          <w:smallCaps/>
          <w:sz w:val="21"/>
          <w:szCs w:val="21"/>
        </w:rPr>
        <w:t>Villiers</w:t>
      </w:r>
      <w:r w:rsidRPr="00607133">
        <w:rPr>
          <w:sz w:val="21"/>
          <w:szCs w:val="21"/>
        </w:rPr>
        <w:t xml:space="preserve">, « Louis XIV, Vauban et Dunkerque », </w:t>
      </w:r>
      <w:r w:rsidRPr="00607133">
        <w:rPr>
          <w:sz w:val="21"/>
          <w:szCs w:val="21"/>
        </w:rPr>
        <w:br/>
        <w:t xml:space="preserve">dans </w:t>
      </w:r>
      <w:r w:rsidRPr="00607133">
        <w:rPr>
          <w:smallCaps/>
          <w:sz w:val="21"/>
          <w:szCs w:val="21"/>
        </w:rPr>
        <w:t>Id</w:t>
      </w:r>
      <w:r w:rsidRPr="00607133">
        <w:rPr>
          <w:sz w:val="21"/>
          <w:szCs w:val="21"/>
        </w:rPr>
        <w:t>.</w:t>
      </w:r>
      <w:r w:rsidRPr="00607133">
        <w:rPr>
          <w:rStyle w:val="Appelnotedebasdep"/>
          <w:sz w:val="21"/>
          <w:szCs w:val="21"/>
        </w:rPr>
        <w:footnoteReference w:id="4"/>
      </w:r>
      <w:r w:rsidRPr="00607133">
        <w:rPr>
          <w:sz w:val="21"/>
          <w:szCs w:val="21"/>
        </w:rPr>
        <w:t xml:space="preserve">, </w:t>
      </w:r>
      <w:r w:rsidRPr="00607133">
        <w:rPr>
          <w:i/>
          <w:sz w:val="21"/>
          <w:szCs w:val="21"/>
        </w:rPr>
        <w:t xml:space="preserve">Jean Bart. Corsaire du Roi-Soleil, </w:t>
      </w:r>
      <w:r w:rsidRPr="00607133">
        <w:rPr>
          <w:sz w:val="21"/>
          <w:szCs w:val="21"/>
        </w:rPr>
        <w:t>Paris, Fayard, 2013, p. 253-266.</w:t>
      </w:r>
    </w:p>
    <w:p w14:paraId="3D48A231" w14:textId="77777777" w:rsidR="007E0B8A" w:rsidRPr="00607133" w:rsidRDefault="007E0B8A" w:rsidP="007E0B8A">
      <w:pPr>
        <w:jc w:val="center"/>
        <w:rPr>
          <w:sz w:val="21"/>
          <w:szCs w:val="21"/>
        </w:rPr>
      </w:pPr>
      <w:r w:rsidRPr="00607133">
        <w:rPr>
          <w:smallCaps/>
          <w:sz w:val="21"/>
          <w:szCs w:val="21"/>
        </w:rPr>
        <w:t>(</w:t>
      </w:r>
      <w:proofErr w:type="gramStart"/>
      <w:r w:rsidRPr="00703939">
        <w:rPr>
          <w:sz w:val="21"/>
          <w:szCs w:val="21"/>
        </w:rPr>
        <w:t>pour</w:t>
      </w:r>
      <w:proofErr w:type="gramEnd"/>
      <w:r w:rsidRPr="00703939">
        <w:rPr>
          <w:sz w:val="21"/>
          <w:szCs w:val="21"/>
        </w:rPr>
        <w:t xml:space="preserve"> une notice de dictionnaire</w:t>
      </w:r>
      <w:r w:rsidRPr="00607133">
        <w:rPr>
          <w:smallCaps/>
          <w:sz w:val="21"/>
          <w:szCs w:val="21"/>
        </w:rPr>
        <w:t>)</w:t>
      </w:r>
      <w:r w:rsidRPr="00607133">
        <w:rPr>
          <w:smallCaps/>
          <w:sz w:val="21"/>
          <w:szCs w:val="21"/>
        </w:rPr>
        <w:br/>
        <w:t>Villiers</w:t>
      </w:r>
      <w:r w:rsidRPr="00607133">
        <w:rPr>
          <w:sz w:val="21"/>
          <w:szCs w:val="21"/>
        </w:rPr>
        <w:t xml:space="preserve">, Patrick, « Dunkerque », dans Gilbert </w:t>
      </w:r>
      <w:proofErr w:type="spellStart"/>
      <w:r w:rsidRPr="008B4B0F">
        <w:rPr>
          <w:smallCaps/>
          <w:sz w:val="21"/>
          <w:szCs w:val="21"/>
        </w:rPr>
        <w:t>Buti</w:t>
      </w:r>
      <w:proofErr w:type="spellEnd"/>
      <w:r w:rsidRPr="00607133">
        <w:rPr>
          <w:sz w:val="21"/>
          <w:szCs w:val="21"/>
        </w:rPr>
        <w:t xml:space="preserve">, Philippe </w:t>
      </w:r>
      <w:proofErr w:type="spellStart"/>
      <w:r w:rsidRPr="008B4B0F">
        <w:rPr>
          <w:smallCaps/>
          <w:sz w:val="21"/>
          <w:szCs w:val="21"/>
        </w:rPr>
        <w:t>Hrodej</w:t>
      </w:r>
      <w:proofErr w:type="spellEnd"/>
      <w:r w:rsidRPr="00607133">
        <w:rPr>
          <w:sz w:val="21"/>
          <w:szCs w:val="21"/>
        </w:rPr>
        <w:t xml:space="preserve"> (dir.), </w:t>
      </w:r>
      <w:r w:rsidRPr="00607133">
        <w:rPr>
          <w:sz w:val="21"/>
          <w:szCs w:val="21"/>
        </w:rPr>
        <w:br/>
      </w:r>
      <w:r w:rsidRPr="00607133">
        <w:rPr>
          <w:i/>
          <w:sz w:val="21"/>
          <w:szCs w:val="21"/>
        </w:rPr>
        <w:t>Dictionnaire des corsaires et pirates</w:t>
      </w:r>
      <w:r w:rsidRPr="00607133">
        <w:rPr>
          <w:sz w:val="21"/>
          <w:szCs w:val="21"/>
        </w:rPr>
        <w:t>, Paris, CNRS Éditions, 2013, p. 256-257.</w:t>
      </w:r>
    </w:p>
    <w:p w14:paraId="26831768" w14:textId="77777777" w:rsidR="007E0B8A" w:rsidRPr="007E0B8A" w:rsidRDefault="007E0B8A" w:rsidP="007E0B8A">
      <w:pPr>
        <w:pStyle w:val="Biblio"/>
        <w:spacing w:before="240"/>
        <w:rPr>
          <w:smallCaps w:val="0"/>
        </w:rPr>
      </w:pPr>
      <w:r w:rsidRPr="007E0B8A">
        <w:rPr>
          <w:smallCaps w:val="0"/>
        </w:rPr>
        <w:t xml:space="preserve">3/ Dans le cas d’un </w:t>
      </w:r>
      <w:r w:rsidRPr="007E0B8A">
        <w:rPr>
          <w:b/>
          <w:smallCaps w:val="0"/>
        </w:rPr>
        <w:t>article de revue</w:t>
      </w:r>
      <w:r w:rsidRPr="007E0B8A">
        <w:rPr>
          <w:smallCaps w:val="0"/>
        </w:rPr>
        <w:t xml:space="preserve">, voici le format le plus fréquent : </w:t>
      </w:r>
    </w:p>
    <w:p w14:paraId="0E25AFF3" w14:textId="77777777" w:rsidR="007E0B8A" w:rsidRPr="00607133" w:rsidRDefault="007E0B8A" w:rsidP="007E0B8A">
      <w:pPr>
        <w:jc w:val="center"/>
      </w:pPr>
      <w:r w:rsidRPr="00607133">
        <w:rPr>
          <w:smallCaps/>
        </w:rPr>
        <w:t>Nom de l’auteur</w:t>
      </w:r>
      <w:r w:rsidRPr="00607133">
        <w:t xml:space="preserve">, Prénom de l’auteur, « Titre de l’article », </w:t>
      </w:r>
      <w:r w:rsidRPr="00607133">
        <w:br/>
      </w:r>
      <w:r w:rsidRPr="00607133">
        <w:rPr>
          <w:i/>
        </w:rPr>
        <w:t>Nom de la revue</w:t>
      </w:r>
      <w:r w:rsidRPr="00607133">
        <w:t>, année de parution, n</w:t>
      </w:r>
      <w:r w:rsidRPr="00607133">
        <w:rPr>
          <w:vertAlign w:val="superscript"/>
        </w:rPr>
        <w:t>o</w:t>
      </w:r>
      <w:r w:rsidRPr="00607133">
        <w:t xml:space="preserve"> concerné/numéro de parution dans l’année, p. x-y.</w:t>
      </w:r>
    </w:p>
    <w:p w14:paraId="56DBB579" w14:textId="77777777" w:rsidR="007E0B8A" w:rsidRPr="00607133" w:rsidRDefault="007E0B8A" w:rsidP="007E0B8A">
      <w:pPr>
        <w:jc w:val="center"/>
        <w:rPr>
          <w:rFonts w:cs="Times New Roman"/>
          <w:sz w:val="21"/>
          <w:szCs w:val="20"/>
        </w:rPr>
      </w:pPr>
      <w:r w:rsidRPr="00607133">
        <w:rPr>
          <w:sz w:val="21"/>
        </w:rPr>
        <w:t xml:space="preserve">Avec un exemple concret : </w:t>
      </w:r>
      <w:r w:rsidRPr="00607133">
        <w:rPr>
          <w:sz w:val="21"/>
        </w:rPr>
        <w:br/>
      </w:r>
      <w:proofErr w:type="spellStart"/>
      <w:r w:rsidRPr="00607133">
        <w:rPr>
          <w:rFonts w:cs="Times New Roman"/>
          <w:smallCaps/>
          <w:sz w:val="21"/>
          <w:szCs w:val="20"/>
        </w:rPr>
        <w:t>Darnton</w:t>
      </w:r>
      <w:proofErr w:type="spellEnd"/>
      <w:r w:rsidRPr="00607133">
        <w:rPr>
          <w:rFonts w:cs="Times New Roman"/>
          <w:sz w:val="21"/>
          <w:szCs w:val="20"/>
        </w:rPr>
        <w:t xml:space="preserve">, Robert, « Le lieutenant de police T. P. Lenoir, la guerre des farines et l'approvisionnement </w:t>
      </w:r>
      <w:r w:rsidRPr="00607133">
        <w:rPr>
          <w:rFonts w:cs="Times New Roman"/>
          <w:sz w:val="21"/>
          <w:szCs w:val="20"/>
        </w:rPr>
        <w:br/>
        <w:t xml:space="preserve">de Paris à la veille de la Révolution », </w:t>
      </w:r>
      <w:r w:rsidRPr="00607133">
        <w:rPr>
          <w:rStyle w:val="Accentuation"/>
          <w:rFonts w:cs="Times New Roman"/>
          <w:sz w:val="21"/>
          <w:szCs w:val="20"/>
        </w:rPr>
        <w:t>Revue d’histoire moderne et contemporaine</w:t>
      </w:r>
      <w:r w:rsidRPr="00607133">
        <w:rPr>
          <w:rFonts w:cs="Times New Roman"/>
          <w:sz w:val="21"/>
          <w:szCs w:val="20"/>
        </w:rPr>
        <w:t>, 1969, 16/4, p. 611-624.</w:t>
      </w:r>
    </w:p>
    <w:p w14:paraId="45CDC5A3" w14:textId="77777777" w:rsidR="007E0B8A" w:rsidRPr="007E0B8A" w:rsidRDefault="007E0B8A" w:rsidP="007E0B8A">
      <w:pPr>
        <w:pStyle w:val="Biblio"/>
        <w:spacing w:before="240"/>
        <w:rPr>
          <w:smallCaps w:val="0"/>
        </w:rPr>
      </w:pPr>
      <w:r w:rsidRPr="007E0B8A">
        <w:rPr>
          <w:smallCaps w:val="0"/>
        </w:rPr>
        <w:t xml:space="preserve">4/ </w:t>
      </w:r>
      <w:r w:rsidRPr="007E0B8A">
        <w:rPr>
          <w:b/>
          <w:smallCaps w:val="0"/>
        </w:rPr>
        <w:t>La présentation d’une source primaire</w:t>
      </w:r>
      <w:r w:rsidRPr="007E0B8A">
        <w:rPr>
          <w:smallCaps w:val="0"/>
        </w:rPr>
        <w:t xml:space="preserve">* dépend de sa nature et de son support. Le plus souvent, vous présenterez des sources éditées, c’est-à-dire publiées par un historien longtemps après leur production. Dans ce cas, vous pouvez la citer ainsi : </w:t>
      </w:r>
    </w:p>
    <w:p w14:paraId="0223E086" w14:textId="77777777" w:rsidR="007E0B8A" w:rsidRPr="00607133" w:rsidRDefault="007E0B8A" w:rsidP="007E0B8A">
      <w:pPr>
        <w:jc w:val="center"/>
      </w:pPr>
      <w:r w:rsidRPr="00607133">
        <w:rPr>
          <w:smallCaps/>
        </w:rPr>
        <w:t>Nom de l’auteur de la source</w:t>
      </w:r>
      <w:r w:rsidRPr="00607133">
        <w:t xml:space="preserve">, Prénom de l’auteur, </w:t>
      </w:r>
      <w:r w:rsidRPr="00607133">
        <w:rPr>
          <w:i/>
        </w:rPr>
        <w:t>Titre de l’ouvrage</w:t>
      </w:r>
      <w:r w:rsidRPr="00607133">
        <w:t xml:space="preserve"> </w:t>
      </w:r>
      <w:r w:rsidRPr="00607133">
        <w:rPr>
          <w:rFonts w:cs="Times New Roman"/>
        </w:rPr>
        <w:t>[date de production]</w:t>
      </w:r>
      <w:r w:rsidRPr="00607133">
        <w:t xml:space="preserve">, </w:t>
      </w:r>
      <w:r w:rsidRPr="00607133">
        <w:br/>
        <w:t xml:space="preserve">éd. </w:t>
      </w:r>
      <w:r w:rsidRPr="00607133">
        <w:rPr>
          <w:smallCaps/>
        </w:rPr>
        <w:t>nom</w:t>
      </w:r>
      <w:r w:rsidRPr="00607133">
        <w:t xml:space="preserve"> de l’historien-éditeur/traducteur, Lieu d’édition, Éditeur, Année d’édition.</w:t>
      </w:r>
    </w:p>
    <w:p w14:paraId="35693425" w14:textId="77777777" w:rsidR="007E0B8A" w:rsidRDefault="007E0B8A" w:rsidP="007E0B8A">
      <w:pPr>
        <w:jc w:val="center"/>
        <w:rPr>
          <w:rStyle w:val="Accentuation"/>
          <w:rFonts w:cs="Times New Roman"/>
          <w:sz w:val="21"/>
          <w:szCs w:val="21"/>
        </w:rPr>
      </w:pPr>
      <w:r w:rsidRPr="00607133">
        <w:rPr>
          <w:sz w:val="21"/>
          <w:szCs w:val="21"/>
        </w:rPr>
        <w:t xml:space="preserve">Avec un exemple concret : </w:t>
      </w:r>
      <w:r w:rsidRPr="00607133">
        <w:rPr>
          <w:sz w:val="21"/>
          <w:szCs w:val="21"/>
        </w:rPr>
        <w:br/>
      </w:r>
      <w:r w:rsidRPr="00607133">
        <w:rPr>
          <w:rFonts w:cs="Times New Roman"/>
          <w:smallCaps/>
          <w:sz w:val="21"/>
          <w:szCs w:val="21"/>
        </w:rPr>
        <w:t>Saint-Simon</w:t>
      </w:r>
      <w:r w:rsidRPr="00607133">
        <w:rPr>
          <w:rFonts w:cs="Times New Roman"/>
          <w:sz w:val="21"/>
          <w:szCs w:val="21"/>
        </w:rPr>
        <w:t xml:space="preserve">, Louis de Rouvroy, </w:t>
      </w:r>
      <w:r w:rsidRPr="00607133">
        <w:rPr>
          <w:rFonts w:cs="Times New Roman"/>
          <w:i/>
          <w:sz w:val="21"/>
          <w:szCs w:val="21"/>
        </w:rPr>
        <w:t>Mémoires</w:t>
      </w:r>
      <w:r w:rsidRPr="00607133">
        <w:rPr>
          <w:rFonts w:cs="Times New Roman"/>
          <w:sz w:val="21"/>
          <w:szCs w:val="21"/>
        </w:rPr>
        <w:t xml:space="preserve"> [1739-1749], </w:t>
      </w:r>
      <w:r w:rsidRPr="00607133">
        <w:rPr>
          <w:rFonts w:cs="Times New Roman"/>
          <w:sz w:val="21"/>
          <w:szCs w:val="21"/>
        </w:rPr>
        <w:br/>
      </w:r>
      <w:r w:rsidRPr="00607133">
        <w:rPr>
          <w:rStyle w:val="Accentuation"/>
          <w:rFonts w:cs="Times New Roman"/>
          <w:sz w:val="21"/>
          <w:szCs w:val="21"/>
        </w:rPr>
        <w:t xml:space="preserve">éd. Paul </w:t>
      </w:r>
      <w:proofErr w:type="spellStart"/>
      <w:r w:rsidRPr="00607133">
        <w:rPr>
          <w:rStyle w:val="Accentuation"/>
          <w:rFonts w:cs="Times New Roman"/>
          <w:sz w:val="21"/>
          <w:szCs w:val="21"/>
        </w:rPr>
        <w:t>Galleret</w:t>
      </w:r>
      <w:proofErr w:type="spellEnd"/>
      <w:r w:rsidRPr="00607133">
        <w:rPr>
          <w:rStyle w:val="Accentuation"/>
          <w:rFonts w:cs="Times New Roman"/>
          <w:sz w:val="21"/>
          <w:szCs w:val="21"/>
        </w:rPr>
        <w:t>, Paris, Union générale d’édition, 1974.</w:t>
      </w:r>
    </w:p>
    <w:p w14:paraId="20024384" w14:textId="77777777" w:rsidR="00D23893" w:rsidRDefault="00D23893">
      <w:pPr>
        <w:spacing w:line="259" w:lineRule="auto"/>
        <w:ind w:firstLine="0"/>
        <w:jc w:val="left"/>
        <w:rPr>
          <w:rFonts w:cs="Times New Roman"/>
          <w:sz w:val="21"/>
          <w:szCs w:val="21"/>
        </w:rPr>
      </w:pPr>
      <w:r>
        <w:rPr>
          <w:rFonts w:cs="Times New Roman"/>
          <w:sz w:val="21"/>
          <w:szCs w:val="21"/>
        </w:rPr>
        <w:br w:type="page"/>
      </w:r>
    </w:p>
    <w:p w14:paraId="11E4E1CB" w14:textId="77777777" w:rsidR="00CA253F" w:rsidRDefault="00CA253F" w:rsidP="00CA253F">
      <w:pPr>
        <w:pStyle w:val="Titre"/>
        <w:rPr>
          <w:b/>
        </w:rPr>
      </w:pPr>
      <w:bookmarkStart w:id="14" w:name="_Toc185425574"/>
      <w:r>
        <w:lastRenderedPageBreak/>
        <w:t>Annexe 2</w:t>
      </w:r>
      <w:r>
        <w:br/>
      </w:r>
      <w:r>
        <w:rPr>
          <w:b/>
        </w:rPr>
        <w:t>L’explication de source (ou commentaire) en histoire</w:t>
      </w:r>
      <w:bookmarkEnd w:id="14"/>
      <w:r>
        <w:rPr>
          <w:b/>
        </w:rPr>
        <w:t xml:space="preserve"> </w:t>
      </w:r>
    </w:p>
    <w:p w14:paraId="14B6DD20" w14:textId="77777777" w:rsidR="00FA35B1" w:rsidRDefault="00FA35B1" w:rsidP="00FA35B1">
      <w:pPr>
        <w:pStyle w:val="Titre1"/>
      </w:pPr>
      <w:r>
        <w:t xml:space="preserve">1. L’introduction </w:t>
      </w:r>
    </w:p>
    <w:p w14:paraId="464DC6D4" w14:textId="77777777" w:rsidR="00FA35B1" w:rsidRPr="00D20F03" w:rsidRDefault="00FA35B1" w:rsidP="00D20F03">
      <w:pPr>
        <w:pStyle w:val="Sansinterligne"/>
        <w:spacing w:before="180" w:after="180"/>
        <w:ind w:left="284"/>
        <w:rPr>
          <w:i/>
          <w:sz w:val="24"/>
        </w:rPr>
      </w:pPr>
      <w:r w:rsidRPr="00FA35B1">
        <w:rPr>
          <w:i/>
          <w:sz w:val="24"/>
        </w:rPr>
        <w:t>1. 1. La présentation des document</w:t>
      </w:r>
      <w:r w:rsidR="00D20F03">
        <w:rPr>
          <w:i/>
          <w:sz w:val="24"/>
        </w:rPr>
        <w:t xml:space="preserve">s : un protocole pour vous aider </w:t>
      </w:r>
    </w:p>
    <w:tbl>
      <w:tblPr>
        <w:tblStyle w:val="Grilledutableau"/>
        <w:tblW w:w="9923" w:type="dxa"/>
        <w:jc w:val="center"/>
        <w:tblLook w:val="04A0" w:firstRow="1" w:lastRow="0" w:firstColumn="1" w:lastColumn="0" w:noHBand="0" w:noVBand="1"/>
      </w:tblPr>
      <w:tblGrid>
        <w:gridCol w:w="1413"/>
        <w:gridCol w:w="2523"/>
        <w:gridCol w:w="5987"/>
      </w:tblGrid>
      <w:tr w:rsidR="00FA35B1" w14:paraId="5D53720C" w14:textId="77777777" w:rsidTr="00D20F03">
        <w:trPr>
          <w:jc w:val="center"/>
        </w:trPr>
        <w:tc>
          <w:tcPr>
            <w:tcW w:w="1271" w:type="dxa"/>
            <w:vAlign w:val="center"/>
          </w:tcPr>
          <w:p w14:paraId="30D18151" w14:textId="77777777" w:rsidR="00FA35B1" w:rsidRPr="00FA35B1" w:rsidRDefault="00FA35B1" w:rsidP="00D20F03">
            <w:pPr>
              <w:pStyle w:val="Sansinterligne"/>
              <w:spacing w:before="80" w:after="80"/>
              <w:jc w:val="center"/>
              <w:rPr>
                <w:b/>
                <w:sz w:val="22"/>
              </w:rPr>
            </w:pPr>
            <w:r w:rsidRPr="00FA35B1">
              <w:rPr>
                <w:b/>
                <w:sz w:val="22"/>
              </w:rPr>
              <w:t>Titre et nature</w:t>
            </w:r>
          </w:p>
        </w:tc>
        <w:tc>
          <w:tcPr>
            <w:tcW w:w="2557" w:type="dxa"/>
            <w:vAlign w:val="center"/>
          </w:tcPr>
          <w:p w14:paraId="705AD325" w14:textId="77777777" w:rsidR="00FA35B1" w:rsidRPr="00FA35B1" w:rsidRDefault="00FA35B1" w:rsidP="00D20F03">
            <w:pPr>
              <w:pStyle w:val="Sansinterligne"/>
              <w:spacing w:before="80" w:after="80"/>
              <w:rPr>
                <w:i/>
                <w:sz w:val="22"/>
              </w:rPr>
            </w:pPr>
            <w:r>
              <w:rPr>
                <w:i/>
                <w:sz w:val="22"/>
              </w:rPr>
              <w:t xml:space="preserve">Qu’est-ce que c’est ? </w:t>
            </w:r>
          </w:p>
        </w:tc>
        <w:tc>
          <w:tcPr>
            <w:tcW w:w="6095" w:type="dxa"/>
          </w:tcPr>
          <w:p w14:paraId="676320A9" w14:textId="77777777" w:rsidR="00D20F03" w:rsidRPr="00D20F03" w:rsidRDefault="00D20F03" w:rsidP="00D20F03">
            <w:pPr>
              <w:pStyle w:val="Biblio"/>
              <w:numPr>
                <w:ilvl w:val="0"/>
                <w:numId w:val="1"/>
              </w:numPr>
              <w:spacing w:before="20" w:after="20"/>
              <w:ind w:left="328" w:hanging="283"/>
              <w:rPr>
                <w:smallCaps w:val="0"/>
              </w:rPr>
            </w:pPr>
            <w:proofErr w:type="gramStart"/>
            <w:r w:rsidRPr="00D20F03">
              <w:rPr>
                <w:smallCaps w:val="0"/>
              </w:rPr>
              <w:t>présenter</w:t>
            </w:r>
            <w:proofErr w:type="gramEnd"/>
            <w:r w:rsidRPr="00D20F03">
              <w:rPr>
                <w:smallCaps w:val="0"/>
              </w:rPr>
              <w:t xml:space="preserve"> le type de document avec les termes</w:t>
            </w:r>
            <w:r>
              <w:rPr>
                <w:smallCaps w:val="0"/>
              </w:rPr>
              <w:t xml:space="preserve"> </w:t>
            </w:r>
            <w:r w:rsidRPr="00D20F03">
              <w:rPr>
                <w:smallCaps w:val="0"/>
              </w:rPr>
              <w:t>adéquats</w:t>
            </w:r>
            <w:r>
              <w:rPr>
                <w:smallCaps w:val="0"/>
              </w:rPr>
              <w:t xml:space="preserve"> : on ne parle pas de « texte », mais d’une lettre, d’une loi, d’un décret ou d’une requête. </w:t>
            </w:r>
          </w:p>
          <w:p w14:paraId="60E8D4BA" w14:textId="77777777" w:rsidR="00D20F03" w:rsidRPr="00D20F03" w:rsidRDefault="00D20F03" w:rsidP="00D20F03">
            <w:pPr>
              <w:pStyle w:val="Biblio"/>
              <w:numPr>
                <w:ilvl w:val="0"/>
                <w:numId w:val="1"/>
              </w:numPr>
              <w:spacing w:before="20" w:after="20"/>
              <w:ind w:left="328" w:hanging="283"/>
              <w:rPr>
                <w:smallCaps w:val="0"/>
              </w:rPr>
            </w:pPr>
            <w:proofErr w:type="gramStart"/>
            <w:r w:rsidRPr="00D20F03">
              <w:rPr>
                <w:smallCaps w:val="0"/>
              </w:rPr>
              <w:t>expliquer</w:t>
            </w:r>
            <w:proofErr w:type="gramEnd"/>
            <w:r w:rsidRPr="00D20F03">
              <w:rPr>
                <w:smallCaps w:val="0"/>
              </w:rPr>
              <w:t xml:space="preserve"> ce que cela implique sur la nature des</w:t>
            </w:r>
            <w:r>
              <w:rPr>
                <w:smallCaps w:val="0"/>
              </w:rPr>
              <w:t xml:space="preserve"> </w:t>
            </w:r>
            <w:r w:rsidRPr="00D20F03">
              <w:rPr>
                <w:smallCaps w:val="0"/>
              </w:rPr>
              <w:t>informations qu’on va y trouver, les éventuels biais</w:t>
            </w:r>
          </w:p>
          <w:p w14:paraId="5F35BB89" w14:textId="77777777" w:rsidR="00D20F03" w:rsidRPr="00D20F03" w:rsidRDefault="00D20F03" w:rsidP="00D20F03">
            <w:pPr>
              <w:pStyle w:val="Biblio"/>
              <w:numPr>
                <w:ilvl w:val="0"/>
                <w:numId w:val="1"/>
              </w:numPr>
              <w:spacing w:before="20" w:after="20"/>
              <w:ind w:left="328" w:hanging="283"/>
              <w:rPr>
                <w:smallCaps w:val="0"/>
              </w:rPr>
            </w:pPr>
            <w:proofErr w:type="gramStart"/>
            <w:r w:rsidRPr="00D20F03">
              <w:rPr>
                <w:smallCaps w:val="0"/>
              </w:rPr>
              <w:t>indiquer</w:t>
            </w:r>
            <w:proofErr w:type="gramEnd"/>
            <w:r w:rsidRPr="00D20F03">
              <w:rPr>
                <w:smallCaps w:val="0"/>
              </w:rPr>
              <w:t xml:space="preserve"> les techniques de production relative à la</w:t>
            </w:r>
            <w:r>
              <w:rPr>
                <w:smallCaps w:val="0"/>
              </w:rPr>
              <w:t xml:space="preserve"> </w:t>
            </w:r>
            <w:r w:rsidRPr="00D20F03">
              <w:rPr>
                <w:smallCaps w:val="0"/>
              </w:rPr>
              <w:t>nature du document</w:t>
            </w:r>
          </w:p>
          <w:p w14:paraId="2B685A0D" w14:textId="77777777" w:rsidR="00FA35B1" w:rsidRPr="00D20F03" w:rsidRDefault="00D20F03" w:rsidP="00D20F03">
            <w:pPr>
              <w:pStyle w:val="Biblio"/>
              <w:numPr>
                <w:ilvl w:val="0"/>
                <w:numId w:val="1"/>
              </w:numPr>
              <w:spacing w:before="20" w:after="20"/>
              <w:ind w:left="328" w:hanging="283"/>
              <w:rPr>
                <w:smallCaps w:val="0"/>
              </w:rPr>
            </w:pPr>
            <w:proofErr w:type="gramStart"/>
            <w:r w:rsidRPr="00D20F03">
              <w:rPr>
                <w:smallCaps w:val="0"/>
              </w:rPr>
              <w:t>préciser</w:t>
            </w:r>
            <w:proofErr w:type="gramEnd"/>
            <w:r w:rsidRPr="00D20F03">
              <w:rPr>
                <w:smallCaps w:val="0"/>
              </w:rPr>
              <w:t xml:space="preserve"> si le document est intégral, s’il est tronqué</w:t>
            </w:r>
            <w:r>
              <w:rPr>
                <w:smallCaps w:val="0"/>
              </w:rPr>
              <w:t xml:space="preserve"> </w:t>
            </w:r>
            <w:r>
              <w:rPr>
                <w:smallCaps w:val="0"/>
              </w:rPr>
              <w:br/>
            </w:r>
            <w:r w:rsidRPr="00D20F03">
              <w:rPr>
                <w:smallCaps w:val="0"/>
              </w:rPr>
              <w:t>ou s’il s’agit d’un ou plusieurs extraits</w:t>
            </w:r>
          </w:p>
        </w:tc>
      </w:tr>
      <w:tr w:rsidR="00FA35B1" w14:paraId="6FC43AF0" w14:textId="77777777" w:rsidTr="00D20F03">
        <w:trPr>
          <w:jc w:val="center"/>
        </w:trPr>
        <w:tc>
          <w:tcPr>
            <w:tcW w:w="1271" w:type="dxa"/>
            <w:vAlign w:val="center"/>
          </w:tcPr>
          <w:p w14:paraId="654B2194" w14:textId="77777777" w:rsidR="00FA35B1" w:rsidRPr="00FA35B1" w:rsidRDefault="00FA35B1" w:rsidP="00D20F03">
            <w:pPr>
              <w:pStyle w:val="Sansinterligne"/>
              <w:spacing w:before="80" w:after="80"/>
              <w:jc w:val="center"/>
              <w:rPr>
                <w:b/>
                <w:sz w:val="22"/>
              </w:rPr>
            </w:pPr>
            <w:r w:rsidRPr="00FA35B1">
              <w:rPr>
                <w:b/>
                <w:sz w:val="22"/>
              </w:rPr>
              <w:t xml:space="preserve">Source ou </w:t>
            </w:r>
            <w:proofErr w:type="spellStart"/>
            <w:r w:rsidRPr="00FA35B1">
              <w:rPr>
                <w:b/>
                <w:sz w:val="22"/>
              </w:rPr>
              <w:t>auteur-e</w:t>
            </w:r>
            <w:proofErr w:type="spellEnd"/>
          </w:p>
        </w:tc>
        <w:tc>
          <w:tcPr>
            <w:tcW w:w="2557" w:type="dxa"/>
            <w:vAlign w:val="center"/>
          </w:tcPr>
          <w:p w14:paraId="0E542833" w14:textId="77777777" w:rsidR="00FA35B1" w:rsidRPr="00D20F03" w:rsidRDefault="00FA35B1" w:rsidP="00D20F03">
            <w:pPr>
              <w:pStyle w:val="Sansinterligne"/>
              <w:spacing w:before="80" w:after="80"/>
              <w:rPr>
                <w:i/>
                <w:sz w:val="22"/>
              </w:rPr>
            </w:pPr>
            <w:r w:rsidRPr="00D20F03">
              <w:rPr>
                <w:i/>
                <w:sz w:val="22"/>
              </w:rPr>
              <w:t xml:space="preserve">Qui a produit ce document ? </w:t>
            </w:r>
          </w:p>
        </w:tc>
        <w:tc>
          <w:tcPr>
            <w:tcW w:w="6095" w:type="dxa"/>
          </w:tcPr>
          <w:p w14:paraId="4D96E28D" w14:textId="77777777" w:rsidR="00D20F03" w:rsidRPr="00D20F03" w:rsidRDefault="00D20F03" w:rsidP="00D20F03">
            <w:pPr>
              <w:pStyle w:val="Biblio"/>
              <w:numPr>
                <w:ilvl w:val="0"/>
                <w:numId w:val="1"/>
              </w:numPr>
              <w:spacing w:before="20" w:after="20"/>
              <w:ind w:left="328" w:hanging="283"/>
              <w:rPr>
                <w:smallCaps w:val="0"/>
              </w:rPr>
            </w:pPr>
            <w:proofErr w:type="gramStart"/>
            <w:r w:rsidRPr="00D20F03">
              <w:rPr>
                <w:smallCaps w:val="0"/>
              </w:rPr>
              <w:t>distinguer</w:t>
            </w:r>
            <w:proofErr w:type="gramEnd"/>
            <w:r w:rsidRPr="00D20F03">
              <w:rPr>
                <w:smallCaps w:val="0"/>
              </w:rPr>
              <w:t xml:space="preserve"> l’auteur ou la source, individuel(le) ou</w:t>
            </w:r>
            <w:r>
              <w:rPr>
                <w:smallCaps w:val="0"/>
              </w:rPr>
              <w:t xml:space="preserve"> </w:t>
            </w:r>
            <w:r w:rsidRPr="00D20F03">
              <w:rPr>
                <w:smallCaps w:val="0"/>
              </w:rPr>
              <w:t>collectif(</w:t>
            </w:r>
            <w:proofErr w:type="spellStart"/>
            <w:r w:rsidRPr="00D20F03">
              <w:rPr>
                <w:smallCaps w:val="0"/>
              </w:rPr>
              <w:t>ve</w:t>
            </w:r>
            <w:proofErr w:type="spellEnd"/>
            <w:r w:rsidRPr="00D20F03">
              <w:rPr>
                <w:smallCaps w:val="0"/>
              </w:rPr>
              <w:t>) du document</w:t>
            </w:r>
            <w:r>
              <w:rPr>
                <w:smallCaps w:val="0"/>
              </w:rPr>
              <w:t xml:space="preserve"> ; </w:t>
            </w:r>
          </w:p>
          <w:p w14:paraId="307E13A4" w14:textId="77777777" w:rsidR="00FA35B1" w:rsidRPr="00D20F03" w:rsidRDefault="00D20F03" w:rsidP="00D20F03">
            <w:pPr>
              <w:pStyle w:val="Biblio"/>
              <w:numPr>
                <w:ilvl w:val="0"/>
                <w:numId w:val="1"/>
              </w:numPr>
              <w:spacing w:before="20" w:after="20"/>
              <w:ind w:left="328" w:hanging="283"/>
              <w:rPr>
                <w:smallCaps w:val="0"/>
              </w:rPr>
            </w:pPr>
            <w:proofErr w:type="gramStart"/>
            <w:r w:rsidRPr="00D20F03">
              <w:rPr>
                <w:smallCaps w:val="0"/>
              </w:rPr>
              <w:t>situer</w:t>
            </w:r>
            <w:proofErr w:type="gramEnd"/>
            <w:r w:rsidRPr="00D20F03">
              <w:rPr>
                <w:smallCaps w:val="0"/>
              </w:rPr>
              <w:t xml:space="preserve"> le cadre de rédaction</w:t>
            </w:r>
            <w:r>
              <w:rPr>
                <w:smallCaps w:val="0"/>
              </w:rPr>
              <w:t xml:space="preserve"> ; </w:t>
            </w:r>
            <w:r w:rsidRPr="00D20F03">
              <w:rPr>
                <w:smallCaps w:val="0"/>
              </w:rPr>
              <w:t>donner si besoin des indications biographiques su</w:t>
            </w:r>
            <w:r>
              <w:rPr>
                <w:smallCaps w:val="0"/>
              </w:rPr>
              <w:t xml:space="preserve">r </w:t>
            </w:r>
            <w:r w:rsidRPr="00D20F03">
              <w:rPr>
                <w:smallCaps w:val="0"/>
              </w:rPr>
              <w:t>l’auteur (en lien avec le document, et sans parler des</w:t>
            </w:r>
            <w:r>
              <w:rPr>
                <w:smallCaps w:val="0"/>
              </w:rPr>
              <w:t xml:space="preserve"> </w:t>
            </w:r>
            <w:r w:rsidRPr="00D20F03">
              <w:rPr>
                <w:smallCaps w:val="0"/>
              </w:rPr>
              <w:t>époques postérieures</w:t>
            </w:r>
          </w:p>
        </w:tc>
      </w:tr>
      <w:tr w:rsidR="00FA35B1" w14:paraId="4FDFB0EB" w14:textId="77777777" w:rsidTr="00D20F03">
        <w:trPr>
          <w:jc w:val="center"/>
        </w:trPr>
        <w:tc>
          <w:tcPr>
            <w:tcW w:w="1271" w:type="dxa"/>
            <w:vAlign w:val="center"/>
          </w:tcPr>
          <w:p w14:paraId="56160A83" w14:textId="77777777" w:rsidR="00FA35B1" w:rsidRPr="00FA35B1" w:rsidRDefault="00FA35B1" w:rsidP="00D20F03">
            <w:pPr>
              <w:pStyle w:val="Sansinterligne"/>
              <w:spacing w:before="80" w:after="80"/>
              <w:jc w:val="center"/>
              <w:rPr>
                <w:b/>
                <w:sz w:val="22"/>
              </w:rPr>
            </w:pPr>
            <w:r w:rsidRPr="00FA35B1">
              <w:rPr>
                <w:b/>
                <w:sz w:val="22"/>
              </w:rPr>
              <w:t>Destinataire, destination</w:t>
            </w:r>
          </w:p>
        </w:tc>
        <w:tc>
          <w:tcPr>
            <w:tcW w:w="2557" w:type="dxa"/>
            <w:vAlign w:val="center"/>
          </w:tcPr>
          <w:p w14:paraId="269E3136" w14:textId="77777777" w:rsidR="00FA35B1" w:rsidRPr="00D20F03" w:rsidRDefault="00FA35B1" w:rsidP="00D20F03">
            <w:pPr>
              <w:pStyle w:val="Sansinterligne"/>
              <w:spacing w:before="80" w:after="80"/>
              <w:rPr>
                <w:i/>
                <w:sz w:val="22"/>
              </w:rPr>
            </w:pPr>
            <w:r w:rsidRPr="00D20F03">
              <w:rPr>
                <w:i/>
                <w:sz w:val="22"/>
              </w:rPr>
              <w:t xml:space="preserve">À qui, pour qui, pour quoi ? </w:t>
            </w:r>
          </w:p>
        </w:tc>
        <w:tc>
          <w:tcPr>
            <w:tcW w:w="6095" w:type="dxa"/>
          </w:tcPr>
          <w:p w14:paraId="1DD2B47E" w14:textId="77777777" w:rsidR="00D20F03" w:rsidRPr="00D20F03" w:rsidRDefault="00D20F03" w:rsidP="00D20F03">
            <w:pPr>
              <w:pStyle w:val="Biblio"/>
              <w:numPr>
                <w:ilvl w:val="0"/>
                <w:numId w:val="1"/>
              </w:numPr>
              <w:spacing w:before="20" w:after="20"/>
              <w:ind w:left="328" w:hanging="283"/>
              <w:rPr>
                <w:smallCaps w:val="0"/>
              </w:rPr>
            </w:pPr>
            <w:proofErr w:type="gramStart"/>
            <w:r w:rsidRPr="00D20F03">
              <w:rPr>
                <w:smallCaps w:val="0"/>
              </w:rPr>
              <w:t>préciser</w:t>
            </w:r>
            <w:proofErr w:type="gramEnd"/>
            <w:r w:rsidRPr="00D20F03">
              <w:rPr>
                <w:smallCaps w:val="0"/>
              </w:rPr>
              <w:t xml:space="preserve"> le ou les destinataires éventuels</w:t>
            </w:r>
          </w:p>
          <w:p w14:paraId="37631160" w14:textId="77777777" w:rsidR="00D20F03" w:rsidRPr="00D20F03" w:rsidRDefault="00D20F03" w:rsidP="00D20F03">
            <w:pPr>
              <w:pStyle w:val="Biblio"/>
              <w:numPr>
                <w:ilvl w:val="0"/>
                <w:numId w:val="1"/>
              </w:numPr>
              <w:spacing w:before="20" w:after="20"/>
              <w:ind w:left="328" w:hanging="283"/>
              <w:rPr>
                <w:smallCaps w:val="0"/>
              </w:rPr>
            </w:pPr>
            <w:proofErr w:type="gramStart"/>
            <w:r w:rsidRPr="00D20F03">
              <w:rPr>
                <w:smallCaps w:val="0"/>
              </w:rPr>
              <w:t>se</w:t>
            </w:r>
            <w:proofErr w:type="gramEnd"/>
            <w:r w:rsidRPr="00D20F03">
              <w:rPr>
                <w:smallCaps w:val="0"/>
              </w:rPr>
              <w:t xml:space="preserve"> demander si le texte est destiné à un public large</w:t>
            </w:r>
            <w:r>
              <w:rPr>
                <w:smallCaps w:val="0"/>
              </w:rPr>
              <w:t xml:space="preserve"> </w:t>
            </w:r>
            <w:r>
              <w:rPr>
                <w:smallCaps w:val="0"/>
              </w:rPr>
              <w:br/>
            </w:r>
            <w:r w:rsidRPr="00D20F03">
              <w:rPr>
                <w:smallCaps w:val="0"/>
              </w:rPr>
              <w:t>ou restreint, privilégié ou non, etc.</w:t>
            </w:r>
          </w:p>
          <w:p w14:paraId="6E9E7447" w14:textId="77777777" w:rsidR="00FA35B1" w:rsidRPr="00D20F03" w:rsidRDefault="00D20F03" w:rsidP="00D20F03">
            <w:pPr>
              <w:pStyle w:val="Biblio"/>
              <w:numPr>
                <w:ilvl w:val="0"/>
                <w:numId w:val="1"/>
              </w:numPr>
              <w:spacing w:before="20" w:after="20"/>
              <w:ind w:left="328" w:hanging="283"/>
              <w:rPr>
                <w:smallCaps w:val="0"/>
              </w:rPr>
            </w:pPr>
            <w:proofErr w:type="gramStart"/>
            <w:r w:rsidRPr="00D20F03">
              <w:rPr>
                <w:smallCaps w:val="0"/>
              </w:rPr>
              <w:t>identifier</w:t>
            </w:r>
            <w:proofErr w:type="gramEnd"/>
            <w:r w:rsidRPr="00D20F03">
              <w:rPr>
                <w:smallCaps w:val="0"/>
              </w:rPr>
              <w:t xml:space="preserve"> la fonction ou la destination précise,</w:t>
            </w:r>
            <w:r>
              <w:rPr>
                <w:smallCaps w:val="0"/>
              </w:rPr>
              <w:t xml:space="preserve"> </w:t>
            </w:r>
            <w:r>
              <w:rPr>
                <w:smallCaps w:val="0"/>
              </w:rPr>
              <w:br/>
            </w:r>
            <w:r w:rsidRPr="00D20F03">
              <w:rPr>
                <w:smallCaps w:val="0"/>
              </w:rPr>
              <w:t>immédiate, du document</w:t>
            </w:r>
            <w:r>
              <w:rPr>
                <w:smallCaps w:val="0"/>
              </w:rPr>
              <w:t xml:space="preserve"> : ces sources n’ont pas été produites pour devenir des exercices universitaires. </w:t>
            </w:r>
          </w:p>
        </w:tc>
      </w:tr>
      <w:tr w:rsidR="00FA35B1" w14:paraId="4051B844" w14:textId="77777777" w:rsidTr="00D20F03">
        <w:trPr>
          <w:jc w:val="center"/>
        </w:trPr>
        <w:tc>
          <w:tcPr>
            <w:tcW w:w="1271" w:type="dxa"/>
            <w:vAlign w:val="center"/>
          </w:tcPr>
          <w:p w14:paraId="5392FB37" w14:textId="77777777" w:rsidR="00FA35B1" w:rsidRPr="00FA35B1" w:rsidRDefault="00FA35B1" w:rsidP="00D20F03">
            <w:pPr>
              <w:pStyle w:val="Sansinterligne"/>
              <w:spacing w:before="80" w:after="80"/>
              <w:jc w:val="center"/>
              <w:rPr>
                <w:b/>
                <w:sz w:val="22"/>
              </w:rPr>
            </w:pPr>
            <w:r w:rsidRPr="00FA35B1">
              <w:rPr>
                <w:b/>
                <w:sz w:val="22"/>
              </w:rPr>
              <w:t>Date et contexte de rédaction</w:t>
            </w:r>
          </w:p>
        </w:tc>
        <w:tc>
          <w:tcPr>
            <w:tcW w:w="2557" w:type="dxa"/>
            <w:vAlign w:val="center"/>
          </w:tcPr>
          <w:p w14:paraId="48BC50A3" w14:textId="77777777" w:rsidR="00FA35B1" w:rsidRPr="00D20F03" w:rsidRDefault="00FA35B1" w:rsidP="00D20F03">
            <w:pPr>
              <w:pStyle w:val="Sansinterligne"/>
              <w:spacing w:before="80" w:after="80"/>
              <w:rPr>
                <w:i/>
                <w:sz w:val="22"/>
              </w:rPr>
            </w:pPr>
            <w:r w:rsidRPr="00D20F03">
              <w:rPr>
                <w:i/>
                <w:sz w:val="22"/>
              </w:rPr>
              <w:t>Quan</w:t>
            </w:r>
            <w:r w:rsidR="00D20F03" w:rsidRPr="00D20F03">
              <w:rPr>
                <w:i/>
                <w:sz w:val="22"/>
              </w:rPr>
              <w:t xml:space="preserve">d ? </w:t>
            </w:r>
            <w:r w:rsidR="00D20F03">
              <w:rPr>
                <w:i/>
                <w:sz w:val="22"/>
              </w:rPr>
              <w:br/>
            </w:r>
            <w:r w:rsidR="00D20F03" w:rsidRPr="00D20F03">
              <w:rPr>
                <w:i/>
                <w:sz w:val="22"/>
              </w:rPr>
              <w:t xml:space="preserve">Dans quelles circonstances ? </w:t>
            </w:r>
          </w:p>
        </w:tc>
        <w:tc>
          <w:tcPr>
            <w:tcW w:w="6095" w:type="dxa"/>
          </w:tcPr>
          <w:p w14:paraId="7B6E4704" w14:textId="77777777" w:rsidR="00D20F03" w:rsidRPr="00D20F03" w:rsidRDefault="00D20F03" w:rsidP="00D20F03">
            <w:pPr>
              <w:pStyle w:val="Biblio"/>
              <w:numPr>
                <w:ilvl w:val="0"/>
                <w:numId w:val="1"/>
              </w:numPr>
              <w:spacing w:before="20" w:after="20"/>
              <w:ind w:left="328" w:hanging="283"/>
              <w:rPr>
                <w:smallCaps w:val="0"/>
              </w:rPr>
            </w:pPr>
            <w:proofErr w:type="gramStart"/>
            <w:r w:rsidRPr="00D20F03">
              <w:rPr>
                <w:smallCaps w:val="0"/>
              </w:rPr>
              <w:t>bien</w:t>
            </w:r>
            <w:proofErr w:type="gramEnd"/>
            <w:r w:rsidRPr="00D20F03">
              <w:rPr>
                <w:smallCaps w:val="0"/>
              </w:rPr>
              <w:t xml:space="preserve"> situer les étapes qui ont conduit à la production</w:t>
            </w:r>
            <w:r>
              <w:rPr>
                <w:smallCaps w:val="0"/>
              </w:rPr>
              <w:t xml:space="preserve"> </w:t>
            </w:r>
            <w:r>
              <w:rPr>
                <w:smallCaps w:val="0"/>
              </w:rPr>
              <w:br/>
            </w:r>
            <w:r w:rsidRPr="00D20F03">
              <w:rPr>
                <w:smallCaps w:val="0"/>
              </w:rPr>
              <w:t>du document et les distinguer (rédaction, publication</w:t>
            </w:r>
            <w:r>
              <w:rPr>
                <w:smallCaps w:val="0"/>
              </w:rPr>
              <w:t xml:space="preserve"> </w:t>
            </w:r>
            <w:r w:rsidRPr="00D20F03">
              <w:rPr>
                <w:smallCaps w:val="0"/>
              </w:rPr>
              <w:t>réédition)</w:t>
            </w:r>
            <w:r>
              <w:rPr>
                <w:smallCaps w:val="0"/>
              </w:rPr>
              <w:t xml:space="preserve"> ; </w:t>
            </w:r>
          </w:p>
          <w:p w14:paraId="50A7616F" w14:textId="77777777" w:rsidR="00FA35B1" w:rsidRPr="00D20F03" w:rsidRDefault="00D20F03" w:rsidP="00D20F03">
            <w:pPr>
              <w:pStyle w:val="Biblio"/>
              <w:numPr>
                <w:ilvl w:val="0"/>
                <w:numId w:val="1"/>
              </w:numPr>
              <w:spacing w:before="20" w:after="20"/>
              <w:ind w:left="328" w:hanging="283"/>
              <w:rPr>
                <w:smallCaps w:val="0"/>
              </w:rPr>
            </w:pPr>
            <w:proofErr w:type="gramStart"/>
            <w:r>
              <w:rPr>
                <w:smallCaps w:val="0"/>
              </w:rPr>
              <w:t>vérifier</w:t>
            </w:r>
            <w:proofErr w:type="gramEnd"/>
            <w:r w:rsidRPr="00D20F03">
              <w:rPr>
                <w:smallCaps w:val="0"/>
              </w:rPr>
              <w:t xml:space="preserve"> s’il y a un décalage</w:t>
            </w:r>
            <w:r>
              <w:rPr>
                <w:smallCaps w:val="0"/>
              </w:rPr>
              <w:t xml:space="preserve"> </w:t>
            </w:r>
            <w:r w:rsidRPr="00D20F03">
              <w:rPr>
                <w:smallCaps w:val="0"/>
              </w:rPr>
              <w:t>entre</w:t>
            </w:r>
            <w:r>
              <w:rPr>
                <w:smallCaps w:val="0"/>
              </w:rPr>
              <w:t xml:space="preserve"> </w:t>
            </w:r>
            <w:r w:rsidRPr="00D20F03">
              <w:rPr>
                <w:smallCaps w:val="0"/>
              </w:rPr>
              <w:t>la date du document et les évènements qui y sont</w:t>
            </w:r>
            <w:r>
              <w:rPr>
                <w:smallCaps w:val="0"/>
              </w:rPr>
              <w:t xml:space="preserve"> </w:t>
            </w:r>
            <w:r w:rsidRPr="00D20F03">
              <w:rPr>
                <w:smallCaps w:val="0"/>
              </w:rPr>
              <w:t>rapportés</w:t>
            </w:r>
            <w:r>
              <w:rPr>
                <w:smallCaps w:val="0"/>
              </w:rPr>
              <w:t xml:space="preserve"> ; dans ce cas, </w:t>
            </w:r>
            <w:r>
              <w:rPr>
                <w:smallCaps w:val="0"/>
              </w:rPr>
              <w:br/>
            </w:r>
            <w:r w:rsidRPr="00D20F03">
              <w:rPr>
                <w:smallCaps w:val="0"/>
              </w:rPr>
              <w:t xml:space="preserve">il faut </w:t>
            </w:r>
            <w:r>
              <w:rPr>
                <w:smallCaps w:val="0"/>
              </w:rPr>
              <w:t>décrire le</w:t>
            </w:r>
            <w:r w:rsidRPr="00D20F03">
              <w:rPr>
                <w:smallCaps w:val="0"/>
              </w:rPr>
              <w:t xml:space="preserve"> contexte de</w:t>
            </w:r>
            <w:r>
              <w:rPr>
                <w:smallCaps w:val="0"/>
              </w:rPr>
              <w:t xml:space="preserve"> </w:t>
            </w:r>
            <w:r w:rsidRPr="00D20F03">
              <w:rPr>
                <w:smallCaps w:val="0"/>
              </w:rPr>
              <w:t>rédaction du document</w:t>
            </w:r>
            <w:r>
              <w:rPr>
                <w:smallCaps w:val="0"/>
              </w:rPr>
              <w:t xml:space="preserve"> </w:t>
            </w:r>
            <w:r>
              <w:rPr>
                <w:smallCaps w:val="0"/>
              </w:rPr>
              <w:br/>
              <w:t xml:space="preserve">et le </w:t>
            </w:r>
            <w:r w:rsidRPr="00D20F03">
              <w:rPr>
                <w:smallCaps w:val="0"/>
              </w:rPr>
              <w:t xml:space="preserve">contexte </w:t>
            </w:r>
            <w:r>
              <w:rPr>
                <w:smallCaps w:val="0"/>
              </w:rPr>
              <w:t xml:space="preserve">des événements dont il traite. </w:t>
            </w:r>
          </w:p>
        </w:tc>
      </w:tr>
      <w:tr w:rsidR="00FA35B1" w14:paraId="40193B7E" w14:textId="77777777" w:rsidTr="00D20F03">
        <w:trPr>
          <w:jc w:val="center"/>
        </w:trPr>
        <w:tc>
          <w:tcPr>
            <w:tcW w:w="1271" w:type="dxa"/>
            <w:vAlign w:val="center"/>
          </w:tcPr>
          <w:p w14:paraId="1A16D37C" w14:textId="77777777" w:rsidR="00FA35B1" w:rsidRPr="00FA35B1" w:rsidRDefault="00FA35B1" w:rsidP="00D20F03">
            <w:pPr>
              <w:pStyle w:val="Sansinterligne"/>
              <w:spacing w:before="80" w:after="80"/>
              <w:jc w:val="center"/>
              <w:rPr>
                <w:b/>
                <w:sz w:val="22"/>
              </w:rPr>
            </w:pPr>
            <w:r w:rsidRPr="00FA35B1">
              <w:rPr>
                <w:b/>
                <w:sz w:val="22"/>
              </w:rPr>
              <w:t>Contexte(s)</w:t>
            </w:r>
          </w:p>
        </w:tc>
        <w:tc>
          <w:tcPr>
            <w:tcW w:w="2557" w:type="dxa"/>
            <w:vAlign w:val="center"/>
          </w:tcPr>
          <w:p w14:paraId="78BBFA29" w14:textId="77777777" w:rsidR="00FA35B1" w:rsidRPr="00D20F03" w:rsidRDefault="00D20F03" w:rsidP="00D20F03">
            <w:pPr>
              <w:pStyle w:val="Sansinterligne"/>
              <w:spacing w:before="80" w:after="80"/>
              <w:rPr>
                <w:i/>
                <w:sz w:val="22"/>
              </w:rPr>
            </w:pPr>
            <w:r>
              <w:rPr>
                <w:i/>
                <w:sz w:val="22"/>
              </w:rPr>
              <w:t xml:space="preserve">À quel moment ? Où ? </w:t>
            </w:r>
            <w:r>
              <w:rPr>
                <w:i/>
                <w:sz w:val="22"/>
              </w:rPr>
              <w:br/>
              <w:t xml:space="preserve">Que se passe-t-il à l’époque ? </w:t>
            </w:r>
          </w:p>
        </w:tc>
        <w:tc>
          <w:tcPr>
            <w:tcW w:w="6095" w:type="dxa"/>
          </w:tcPr>
          <w:p w14:paraId="5E78E6FC" w14:textId="77777777" w:rsidR="00D20F03" w:rsidRPr="00D20F03" w:rsidRDefault="00D20F03" w:rsidP="00D20F03">
            <w:pPr>
              <w:pStyle w:val="Biblio"/>
              <w:numPr>
                <w:ilvl w:val="0"/>
                <w:numId w:val="1"/>
              </w:numPr>
              <w:spacing w:before="20" w:after="20"/>
              <w:ind w:left="328" w:hanging="283"/>
              <w:rPr>
                <w:smallCaps w:val="0"/>
              </w:rPr>
            </w:pPr>
            <w:proofErr w:type="gramStart"/>
            <w:r w:rsidRPr="00D20F03">
              <w:rPr>
                <w:smallCaps w:val="0"/>
              </w:rPr>
              <w:t>faire</w:t>
            </w:r>
            <w:proofErr w:type="gramEnd"/>
            <w:r w:rsidRPr="00D20F03">
              <w:rPr>
                <w:smallCaps w:val="0"/>
              </w:rPr>
              <w:t xml:space="preserve"> varier les échelles de temps : temps court</w:t>
            </w:r>
            <w:r>
              <w:rPr>
                <w:smallCaps w:val="0"/>
              </w:rPr>
              <w:t xml:space="preserve"> </w:t>
            </w:r>
            <w:r w:rsidRPr="00D20F03">
              <w:rPr>
                <w:smallCaps w:val="0"/>
              </w:rPr>
              <w:t>(événements immédiatement antérieurs), temps long</w:t>
            </w:r>
            <w:r>
              <w:rPr>
                <w:smallCaps w:val="0"/>
              </w:rPr>
              <w:t xml:space="preserve"> </w:t>
            </w:r>
            <w:r w:rsidRPr="00D20F03">
              <w:rPr>
                <w:smallCaps w:val="0"/>
              </w:rPr>
              <w:t>(tendances générales du moment)</w:t>
            </w:r>
          </w:p>
          <w:p w14:paraId="5F42478F" w14:textId="77777777" w:rsidR="00D20F03" w:rsidRDefault="00D20F03" w:rsidP="00D20F03">
            <w:pPr>
              <w:pStyle w:val="Biblio"/>
              <w:numPr>
                <w:ilvl w:val="0"/>
                <w:numId w:val="1"/>
              </w:numPr>
              <w:spacing w:before="20" w:after="20"/>
              <w:ind w:left="328" w:hanging="283"/>
              <w:rPr>
                <w:smallCaps w:val="0"/>
              </w:rPr>
            </w:pPr>
            <w:proofErr w:type="gramStart"/>
            <w:r w:rsidRPr="00D20F03">
              <w:rPr>
                <w:smallCaps w:val="0"/>
              </w:rPr>
              <w:t>ne</w:t>
            </w:r>
            <w:proofErr w:type="gramEnd"/>
            <w:r w:rsidRPr="00D20F03">
              <w:rPr>
                <w:smallCaps w:val="0"/>
              </w:rPr>
              <w:t xml:space="preserve"> présenter que les évènements et situations</w:t>
            </w:r>
            <w:r>
              <w:rPr>
                <w:smallCaps w:val="0"/>
              </w:rPr>
              <w:t xml:space="preserve"> </w:t>
            </w:r>
            <w:r w:rsidRPr="00D20F03">
              <w:rPr>
                <w:smallCaps w:val="0"/>
              </w:rPr>
              <w:t>historiques qui permettent d’éclairer le document</w:t>
            </w:r>
            <w:r>
              <w:rPr>
                <w:smallCaps w:val="0"/>
              </w:rPr>
              <w:t xml:space="preserve"> </w:t>
            </w:r>
            <w:r w:rsidRPr="00D20F03">
              <w:rPr>
                <w:smallCaps w:val="0"/>
              </w:rPr>
              <w:t>dans la mesure du possible, présenter la situation</w:t>
            </w:r>
            <w:r>
              <w:rPr>
                <w:smallCaps w:val="0"/>
              </w:rPr>
              <w:t xml:space="preserve"> </w:t>
            </w:r>
            <w:r w:rsidRPr="00D20F03">
              <w:rPr>
                <w:smallCaps w:val="0"/>
              </w:rPr>
              <w:t>géographique</w:t>
            </w:r>
          </w:p>
          <w:p w14:paraId="0CC01603" w14:textId="77777777" w:rsidR="00D20F03" w:rsidRPr="00D20F03" w:rsidRDefault="00D20F03" w:rsidP="00D20F03">
            <w:pPr>
              <w:pStyle w:val="Biblio"/>
              <w:numPr>
                <w:ilvl w:val="0"/>
                <w:numId w:val="1"/>
              </w:numPr>
              <w:spacing w:before="20" w:after="20"/>
              <w:ind w:left="328" w:hanging="283"/>
              <w:rPr>
                <w:smallCaps w:val="0"/>
              </w:rPr>
            </w:pPr>
            <w:proofErr w:type="gramStart"/>
            <w:r>
              <w:rPr>
                <w:smallCaps w:val="0"/>
              </w:rPr>
              <w:t>éviter</w:t>
            </w:r>
            <w:proofErr w:type="gramEnd"/>
            <w:r>
              <w:rPr>
                <w:smallCaps w:val="0"/>
              </w:rPr>
              <w:t xml:space="preserve"> les situations généralisantes et emphatiques (ex. : « ce document est produit pendant la Renaissance, une période merveilleuse »). </w:t>
            </w:r>
          </w:p>
        </w:tc>
      </w:tr>
      <w:tr w:rsidR="00FA35B1" w14:paraId="6147449D" w14:textId="77777777" w:rsidTr="00D20F03">
        <w:trPr>
          <w:jc w:val="center"/>
        </w:trPr>
        <w:tc>
          <w:tcPr>
            <w:tcW w:w="1271" w:type="dxa"/>
            <w:vAlign w:val="center"/>
          </w:tcPr>
          <w:p w14:paraId="230C38C7" w14:textId="77777777" w:rsidR="00FA35B1" w:rsidRPr="00FA35B1" w:rsidRDefault="00FA35B1" w:rsidP="00D20F03">
            <w:pPr>
              <w:pStyle w:val="Sansinterligne"/>
              <w:spacing w:before="80" w:after="80"/>
              <w:jc w:val="center"/>
              <w:rPr>
                <w:b/>
                <w:sz w:val="22"/>
              </w:rPr>
            </w:pPr>
            <w:r w:rsidRPr="00FA35B1">
              <w:rPr>
                <w:b/>
                <w:sz w:val="22"/>
              </w:rPr>
              <w:t>Buts et enjeux</w:t>
            </w:r>
          </w:p>
        </w:tc>
        <w:tc>
          <w:tcPr>
            <w:tcW w:w="2557" w:type="dxa"/>
            <w:vAlign w:val="center"/>
          </w:tcPr>
          <w:p w14:paraId="26EAE244" w14:textId="77777777" w:rsidR="00FA35B1" w:rsidRPr="00D20F03" w:rsidRDefault="00D20F03" w:rsidP="00D20F03">
            <w:pPr>
              <w:pStyle w:val="Sansinterligne"/>
              <w:spacing w:before="80" w:after="80"/>
              <w:rPr>
                <w:i/>
                <w:sz w:val="22"/>
              </w:rPr>
            </w:pPr>
            <w:r>
              <w:rPr>
                <w:i/>
                <w:sz w:val="22"/>
              </w:rPr>
              <w:t xml:space="preserve">Que dit-on ? Que veut-on dire </w:t>
            </w:r>
            <w:r>
              <w:rPr>
                <w:i/>
                <w:sz w:val="22"/>
              </w:rPr>
              <w:br/>
              <w:t xml:space="preserve">et faire ? Pourquoi ? </w:t>
            </w:r>
          </w:p>
        </w:tc>
        <w:tc>
          <w:tcPr>
            <w:tcW w:w="6095" w:type="dxa"/>
          </w:tcPr>
          <w:p w14:paraId="1BF7187B" w14:textId="77777777" w:rsidR="00D20F03" w:rsidRPr="00D20F03" w:rsidRDefault="00D20F03" w:rsidP="00D20F03">
            <w:pPr>
              <w:pStyle w:val="Biblio"/>
              <w:numPr>
                <w:ilvl w:val="0"/>
                <w:numId w:val="1"/>
              </w:numPr>
              <w:spacing w:before="20" w:after="20"/>
              <w:ind w:left="328" w:hanging="283"/>
              <w:rPr>
                <w:smallCaps w:val="0"/>
              </w:rPr>
            </w:pPr>
            <w:proofErr w:type="gramStart"/>
            <w:r w:rsidRPr="00D20F03">
              <w:rPr>
                <w:smallCaps w:val="0"/>
              </w:rPr>
              <w:t>sans</w:t>
            </w:r>
            <w:proofErr w:type="gramEnd"/>
            <w:r w:rsidRPr="00D20F03">
              <w:rPr>
                <w:smallCaps w:val="0"/>
              </w:rPr>
              <w:t xml:space="preserve"> empiéter sur le développemen</w:t>
            </w:r>
            <w:r>
              <w:rPr>
                <w:smallCaps w:val="0"/>
              </w:rPr>
              <w:t xml:space="preserve">t, </w:t>
            </w:r>
            <w:r w:rsidRPr="00D20F03">
              <w:rPr>
                <w:smallCaps w:val="0"/>
              </w:rPr>
              <w:t>présenter synthétiquement les enjeux qui expliquen</w:t>
            </w:r>
            <w:r>
              <w:rPr>
                <w:smallCaps w:val="0"/>
              </w:rPr>
              <w:t xml:space="preserve">t </w:t>
            </w:r>
            <w:r w:rsidRPr="00D20F03">
              <w:rPr>
                <w:smallCaps w:val="0"/>
              </w:rPr>
              <w:t>le contenu, la rédaction du document, le but poursuivi</w:t>
            </w:r>
            <w:r>
              <w:rPr>
                <w:smallCaps w:val="0"/>
              </w:rPr>
              <w:t xml:space="preserve"> </w:t>
            </w:r>
            <w:r w:rsidRPr="00D20F03">
              <w:rPr>
                <w:smallCaps w:val="0"/>
              </w:rPr>
              <w:t>par l’auteur, ce qu’il veut dire</w:t>
            </w:r>
          </w:p>
          <w:p w14:paraId="7172EEFD" w14:textId="77777777" w:rsidR="00FA35B1" w:rsidRPr="00D20F03" w:rsidRDefault="00D20F03" w:rsidP="00D20F03">
            <w:pPr>
              <w:pStyle w:val="Biblio"/>
              <w:numPr>
                <w:ilvl w:val="0"/>
                <w:numId w:val="1"/>
              </w:numPr>
              <w:spacing w:before="20" w:after="20"/>
              <w:ind w:left="328" w:hanging="283"/>
              <w:rPr>
                <w:smallCaps w:val="0"/>
              </w:rPr>
            </w:pPr>
            <w:proofErr w:type="gramStart"/>
            <w:r w:rsidRPr="00D20F03">
              <w:rPr>
                <w:smallCaps w:val="0"/>
              </w:rPr>
              <w:t>mettre</w:t>
            </w:r>
            <w:proofErr w:type="gramEnd"/>
            <w:r w:rsidRPr="00D20F03">
              <w:rPr>
                <w:smallCaps w:val="0"/>
              </w:rPr>
              <w:t xml:space="preserve"> en évidence les articulations du texte, les</w:t>
            </w:r>
            <w:r>
              <w:rPr>
                <w:smallCaps w:val="0"/>
              </w:rPr>
              <w:t xml:space="preserve"> </w:t>
            </w:r>
            <w:r w:rsidRPr="00D20F03">
              <w:rPr>
                <w:smallCaps w:val="0"/>
              </w:rPr>
              <w:t>découpages éventuels, sa construction générale</w:t>
            </w:r>
          </w:p>
        </w:tc>
      </w:tr>
    </w:tbl>
    <w:p w14:paraId="062019AC" w14:textId="77777777" w:rsidR="009B3FAA" w:rsidRPr="00FA35B1" w:rsidRDefault="00FA35B1" w:rsidP="00FA35B1">
      <w:pPr>
        <w:pStyle w:val="Sansinterligne"/>
        <w:spacing w:before="180" w:after="180"/>
        <w:ind w:left="284"/>
        <w:rPr>
          <w:i/>
          <w:sz w:val="24"/>
        </w:rPr>
      </w:pPr>
      <w:r w:rsidRPr="00FA35B1">
        <w:rPr>
          <w:i/>
          <w:sz w:val="24"/>
        </w:rPr>
        <w:lastRenderedPageBreak/>
        <w:t xml:space="preserve">1. </w:t>
      </w:r>
      <w:r w:rsidR="009B3FAA" w:rsidRPr="00FA35B1">
        <w:rPr>
          <w:i/>
          <w:sz w:val="24"/>
        </w:rPr>
        <w:t xml:space="preserve">2. </w:t>
      </w:r>
      <w:r w:rsidRPr="00FA35B1">
        <w:rPr>
          <w:i/>
          <w:sz w:val="24"/>
        </w:rPr>
        <w:t xml:space="preserve">L’écriture de l’introduction </w:t>
      </w:r>
    </w:p>
    <w:p w14:paraId="18859EC6" w14:textId="77777777" w:rsidR="009B3FAA" w:rsidRDefault="009B3FAA" w:rsidP="009B3FAA">
      <w:r>
        <w:t>L’introduction du document est indispensable et peut constituer jusqu’à un quart de l’ensemble du commentaire. C’est le résultat de l’analyse du document qui permet de présenter, point par point tous les éléments nécessaires à la compréhension et à l’explication du document qui suit dans le développement.</w:t>
      </w:r>
    </w:p>
    <w:p w14:paraId="5928C9C0" w14:textId="77777777" w:rsidR="009B3FAA" w:rsidRDefault="009B3FAA" w:rsidP="009B3FAA">
      <w:r>
        <w:t xml:space="preserve">L’introduction se compose de : 1/ la présentation méthodique du ou des document(s), de façon détaillée et à partir des questionnements précédents, selon l’ordre qui vous paraît le plus adéquat ; 2/ la problématique, qui soulève l’intérêt du document ; 3/ l’annonce rapide du plan qui va guider le commentaire. Pour aider le lecteur, ces éléments peuvent donner lieu à un retour à la ligne, sans saut de ligne. </w:t>
      </w:r>
    </w:p>
    <w:p w14:paraId="0CD0B0F5" w14:textId="77777777" w:rsidR="009B3FAA" w:rsidRDefault="009B3FAA" w:rsidP="009B3FAA">
      <w:r>
        <w:t xml:space="preserve">La problématique du commentaire découle de la présentation du document : elle ne doit pas sortir de nulle part. Il s’agit de dire en une phrase quel est l’enjeu historique que le document permet d’éclairer, le problème historique qu’il permet de soulever. Le plan est ensuite annoncé de manière synthétique, en autant de phrases que de parties. Cette annonce permet de comprendre le fil argumentatif de votre commentaire. </w:t>
      </w:r>
      <w:r w:rsidR="00FA35B1">
        <w:t xml:space="preserve"> </w:t>
      </w:r>
    </w:p>
    <w:p w14:paraId="3D215130" w14:textId="77777777" w:rsidR="009B3FAA" w:rsidRDefault="00FA35B1" w:rsidP="00FA35B1">
      <w:pPr>
        <w:pStyle w:val="Titre1"/>
      </w:pPr>
      <w:r>
        <w:t>2.</w:t>
      </w:r>
      <w:r w:rsidR="009B3FAA">
        <w:t xml:space="preserve"> Le développement</w:t>
      </w:r>
    </w:p>
    <w:p w14:paraId="42348264" w14:textId="77777777" w:rsidR="009B3FAA" w:rsidRPr="00FA35B1" w:rsidRDefault="00FA35B1" w:rsidP="00FA35B1">
      <w:pPr>
        <w:pStyle w:val="Sansinterligne"/>
        <w:spacing w:before="180" w:after="180"/>
        <w:ind w:left="284"/>
        <w:rPr>
          <w:i/>
          <w:sz w:val="24"/>
        </w:rPr>
      </w:pPr>
      <w:r w:rsidRPr="00FA35B1">
        <w:rPr>
          <w:i/>
          <w:sz w:val="24"/>
        </w:rPr>
        <w:t xml:space="preserve">2. </w:t>
      </w:r>
      <w:r w:rsidR="009B3FAA" w:rsidRPr="00FA35B1">
        <w:rPr>
          <w:i/>
          <w:sz w:val="24"/>
        </w:rPr>
        <w:t>1. Le plan</w:t>
      </w:r>
    </w:p>
    <w:p w14:paraId="737B1C01" w14:textId="77777777" w:rsidR="009B3FAA" w:rsidRDefault="009B3FAA" w:rsidP="00FA35B1">
      <w:r>
        <w:t>Le développement s’articule en deux ou trois étapes ou parties qui permettent d’expliquer et de</w:t>
      </w:r>
      <w:r w:rsidR="00FA35B1">
        <w:t xml:space="preserve"> </w:t>
      </w:r>
      <w:r>
        <w:t>critiquer méthodiquement le document. Pour construire le plan, il faut interroger le document en</w:t>
      </w:r>
      <w:r w:rsidR="00FA35B1">
        <w:t xml:space="preserve"> </w:t>
      </w:r>
      <w:r>
        <w:t>profondeur (voir ci-dessus, deuxième type de lecture).</w:t>
      </w:r>
      <w:r w:rsidR="00FA35B1">
        <w:t xml:space="preserve"> </w:t>
      </w:r>
      <w:r>
        <w:t>Le plan propose une démarche d’analyse du document, en interrogeant des thèmes, des</w:t>
      </w:r>
      <w:r w:rsidR="00FA35B1">
        <w:t xml:space="preserve"> </w:t>
      </w:r>
      <w:r>
        <w:t>arguments, etc. Il faut repérer des ensembles cohérents à étudier les uns après les autres, pour</w:t>
      </w:r>
      <w:r w:rsidR="00FA35B1">
        <w:t xml:space="preserve"> </w:t>
      </w:r>
      <w:r>
        <w:t>progresser dans l’explication du texte. La démarche ne suit pas obligatoirement le déroulement du</w:t>
      </w:r>
      <w:r w:rsidR="00FA35B1">
        <w:t xml:space="preserve"> </w:t>
      </w:r>
      <w:r>
        <w:t>texte.</w:t>
      </w:r>
    </w:p>
    <w:p w14:paraId="54EE3EDC" w14:textId="77777777" w:rsidR="00FA35B1" w:rsidRDefault="009B3FAA" w:rsidP="00FA35B1">
      <w:r>
        <w:t>Les parties se subdivisent en sous-parties ou paragraphes argumentatifs. Ces subdivisions ne sont pas arbitraires, mais constituent des unités d’analyse du document : c’est là que l’on va étudier le texte en profondeur, l’expliquer, le critiquer, articuler une pensée.</w:t>
      </w:r>
      <w:r w:rsidR="00FA35B1">
        <w:t xml:space="preserve"> </w:t>
      </w:r>
    </w:p>
    <w:p w14:paraId="52EE585C" w14:textId="77777777" w:rsidR="009B3FAA" w:rsidRDefault="009B3FAA" w:rsidP="00FA35B1">
      <w:r>
        <w:t>Il faut toujours rester au plus près du texte : on commente le texte et rien que le texte ; on</w:t>
      </w:r>
      <w:r w:rsidR="00FA35B1">
        <w:t xml:space="preserve"> </w:t>
      </w:r>
      <w:r>
        <w:t>évacue donc tous les éléments qui ne permettent pas directement et explicitement de comprendre le</w:t>
      </w:r>
      <w:r w:rsidR="00FA35B1">
        <w:t xml:space="preserve"> </w:t>
      </w:r>
      <w:r>
        <w:t>document.</w:t>
      </w:r>
    </w:p>
    <w:p w14:paraId="1CC0A47B" w14:textId="77777777" w:rsidR="009B3FAA" w:rsidRPr="00FA35B1" w:rsidRDefault="00FA35B1" w:rsidP="00FA35B1">
      <w:pPr>
        <w:pStyle w:val="Sansinterligne"/>
        <w:spacing w:before="180" w:after="180"/>
        <w:ind w:left="284"/>
        <w:rPr>
          <w:i/>
          <w:sz w:val="24"/>
        </w:rPr>
      </w:pPr>
      <w:r w:rsidRPr="00FA35B1">
        <w:rPr>
          <w:i/>
          <w:sz w:val="24"/>
        </w:rPr>
        <w:t xml:space="preserve">2. </w:t>
      </w:r>
      <w:r w:rsidR="009B3FAA" w:rsidRPr="00FA35B1">
        <w:rPr>
          <w:i/>
          <w:sz w:val="24"/>
        </w:rPr>
        <w:t>2. Commenter : citer, expliquer, critiquer</w:t>
      </w:r>
    </w:p>
    <w:p w14:paraId="2572BB1B" w14:textId="77777777" w:rsidR="009B3FAA" w:rsidRDefault="009B3FAA" w:rsidP="00FA35B1">
      <w:r>
        <w:t>Chaque argument ou élément d’explication vient toujours s’appuyer sur le texte par des citations</w:t>
      </w:r>
      <w:r w:rsidR="00FA35B1">
        <w:t xml:space="preserve"> </w:t>
      </w:r>
      <w:r>
        <w:t>ou des renvois à des passages préci</w:t>
      </w:r>
      <w:r w:rsidR="00FA35B1">
        <w:t>s. L</w:t>
      </w:r>
      <w:r>
        <w:t>es citations courtes (une à deux lignes) sont introduites dans le fil du commentaire, puis</w:t>
      </w:r>
      <w:r w:rsidR="00FA35B1">
        <w:t xml:space="preserve"> </w:t>
      </w:r>
      <w:r>
        <w:t>recopiées et mises entre guillemets avec renvoi aux lignes entre parenthèse (par</w:t>
      </w:r>
      <w:r w:rsidR="00FA35B1">
        <w:t xml:space="preserve"> </w:t>
      </w:r>
      <w:r>
        <w:t>exemple : voir lignes 5-7)</w:t>
      </w:r>
      <w:r w:rsidR="00FA35B1">
        <w:t>. L</w:t>
      </w:r>
      <w:r>
        <w:t>es citations plus longues ne sont pas intégrées dans le commentaire, mais elles sont</w:t>
      </w:r>
      <w:r w:rsidR="00FA35B1">
        <w:t xml:space="preserve"> </w:t>
      </w:r>
      <w:r>
        <w:t xml:space="preserve">précisément référencées avec </w:t>
      </w:r>
      <w:r w:rsidR="00FA35B1">
        <w:t xml:space="preserve">un </w:t>
      </w:r>
      <w:r>
        <w:t>renvoi aux lignes. Évitez les renvois vagues.</w:t>
      </w:r>
    </w:p>
    <w:p w14:paraId="3D80CC08" w14:textId="77777777" w:rsidR="00FA35B1" w:rsidRDefault="009B3FAA" w:rsidP="00FA35B1">
      <w:r>
        <w:t>Tout au long du commentaire, le texte est toujours explicité et éclairé par l’apport de</w:t>
      </w:r>
      <w:r w:rsidR="00FA35B1">
        <w:t xml:space="preserve"> </w:t>
      </w:r>
      <w:r>
        <w:t>connaissances</w:t>
      </w:r>
      <w:r w:rsidR="00FA35B1">
        <w:t xml:space="preserve"> (voir le schéma du « régime de la preuve » dans la séance 5-1 du présent fichier)</w:t>
      </w:r>
      <w:r>
        <w:t>. À chaque étape du développement, il faut :</w:t>
      </w:r>
      <w:r w:rsidR="00FA35B1">
        <w:t> </w:t>
      </w:r>
      <w:r>
        <w:t>expliquer les mots spécifiques, définir les notions ;</w:t>
      </w:r>
      <w:r w:rsidR="00FA35B1">
        <w:t xml:space="preserve"> </w:t>
      </w:r>
      <w:r>
        <w:t>développer ce qui est implicite ;</w:t>
      </w:r>
      <w:r w:rsidR="00FA35B1">
        <w:t xml:space="preserve"> </w:t>
      </w:r>
      <w:r>
        <w:t>rappeler le contexte, présenter certains faits, personnages, évènements.</w:t>
      </w:r>
      <w:r w:rsidR="00FA35B1">
        <w:t xml:space="preserve"> </w:t>
      </w:r>
      <w:r>
        <w:t xml:space="preserve">Il faut </w:t>
      </w:r>
      <w:r w:rsidRPr="00FA35B1">
        <w:rPr>
          <w:b/>
        </w:rPr>
        <w:t>absolument bannir</w:t>
      </w:r>
      <w:r>
        <w:t xml:space="preserve"> la paraphrase : une citation ne parle pas d’elle-même, et le texte</w:t>
      </w:r>
      <w:r w:rsidR="00FA35B1">
        <w:t xml:space="preserve"> </w:t>
      </w:r>
      <w:r>
        <w:t>ne se commente pas tout seul !</w:t>
      </w:r>
    </w:p>
    <w:p w14:paraId="112024DA" w14:textId="77777777" w:rsidR="009B3FAA" w:rsidRDefault="00FA35B1" w:rsidP="00FA35B1">
      <w:pPr>
        <w:pStyle w:val="Titre1"/>
      </w:pPr>
      <w:r>
        <w:t>3</w:t>
      </w:r>
      <w:r w:rsidR="009B3FAA">
        <w:t>. La conclusion</w:t>
      </w:r>
    </w:p>
    <w:p w14:paraId="19327FC9" w14:textId="77777777" w:rsidR="00CA253F" w:rsidRDefault="009B3FAA" w:rsidP="00FA35B1">
      <w:r>
        <w:t>La conclusion vient clore votre propos</w:t>
      </w:r>
      <w:r w:rsidR="00FA35B1">
        <w:t xml:space="preserve"> </w:t>
      </w:r>
      <w:r>
        <w:t>en rappelant les principales étapes du texte, les principaux thèmes</w:t>
      </w:r>
      <w:r w:rsidR="00FA35B1">
        <w:t xml:space="preserve">. Elle permet de répondre </w:t>
      </w:r>
      <w:r>
        <w:t>à la question posée sur le texte au départ</w:t>
      </w:r>
      <w:r w:rsidR="00FA35B1">
        <w:t>, puis de réfléchir plus généralement à la portée de ce que vous avez étudié et à l’usage de cette source par l’</w:t>
      </w:r>
      <w:proofErr w:type="spellStart"/>
      <w:r w:rsidR="00FA35B1">
        <w:t>historien-ne</w:t>
      </w:r>
      <w:proofErr w:type="spellEnd"/>
      <w:r w:rsidR="00FA35B1">
        <w:t xml:space="preserve">. </w:t>
      </w:r>
      <w:r>
        <w:t>Il ne s’agit pas de redire tout ce qui a été dit, mais d’ouvrir la réflexion qui a été menée tout au</w:t>
      </w:r>
      <w:r w:rsidR="00FA35B1">
        <w:t xml:space="preserve"> </w:t>
      </w:r>
      <w:r>
        <w:t>long du commentaire. Il faut mettre le document en perspective dans un contexte plus large, par</w:t>
      </w:r>
      <w:r w:rsidR="00FA35B1">
        <w:t xml:space="preserve"> </w:t>
      </w:r>
      <w:r>
        <w:t>rapport à sa postérité, son usage ou ses avatars futurs.</w:t>
      </w:r>
    </w:p>
    <w:p w14:paraId="415D0B86" w14:textId="77777777" w:rsidR="00CA253F" w:rsidRDefault="00CA253F">
      <w:pPr>
        <w:spacing w:line="259" w:lineRule="auto"/>
        <w:ind w:firstLine="0"/>
        <w:jc w:val="left"/>
        <w:rPr>
          <w:rFonts w:eastAsiaTheme="majorEastAsia" w:cstheme="majorBidi"/>
          <w:spacing w:val="-10"/>
          <w:kern w:val="28"/>
          <w:sz w:val="32"/>
          <w:szCs w:val="32"/>
        </w:rPr>
      </w:pPr>
      <w:r>
        <w:br w:type="page"/>
      </w:r>
    </w:p>
    <w:p w14:paraId="298FF4CA" w14:textId="77777777" w:rsidR="00D23893" w:rsidRDefault="00D23893" w:rsidP="0053785A">
      <w:pPr>
        <w:pStyle w:val="Titre"/>
        <w:rPr>
          <w:b/>
        </w:rPr>
      </w:pPr>
      <w:bookmarkStart w:id="15" w:name="_Toc185425575"/>
      <w:r>
        <w:lastRenderedPageBreak/>
        <w:t xml:space="preserve">Annexe </w:t>
      </w:r>
      <w:r w:rsidR="00CA253F">
        <w:t>3</w:t>
      </w:r>
      <w:r>
        <w:br/>
      </w:r>
      <w:r w:rsidR="0053785A">
        <w:rPr>
          <w:b/>
        </w:rPr>
        <w:t>Rédiger une copie : le « ton » idéal</w:t>
      </w:r>
      <w:bookmarkEnd w:id="15"/>
    </w:p>
    <w:p w14:paraId="12AEAC72" w14:textId="77777777" w:rsidR="0053785A" w:rsidRPr="00D66387" w:rsidRDefault="0053785A" w:rsidP="0053785A">
      <w:pPr>
        <w:rPr>
          <w:sz w:val="24"/>
        </w:rPr>
      </w:pPr>
      <w:r w:rsidRPr="00D66387">
        <w:rPr>
          <w:sz w:val="24"/>
        </w:rPr>
        <w:t xml:space="preserve">L’écriture historique implique quelques règles de base, surtout dans le cadre d’une copie universitaire. Une bonne copie raconte, explique et fait comprendre. Pour cette raison, le « ton » est quelque chose de très important : il doit être maîtrisé, clair, mais aussi agréable. Trouver le juste milieu est difficile, et souvent le résultat d’un travail long, fait de larmes de sang et de mauvaises notes. Mais quelques erreurs grossières peuvent être évitées très facilement ! Il vous faut surtout respecter une règle triple : soyez </w:t>
      </w:r>
      <w:r w:rsidRPr="00D66387">
        <w:rPr>
          <w:b/>
          <w:sz w:val="24"/>
        </w:rPr>
        <w:t>neutre</w:t>
      </w:r>
      <w:r>
        <w:rPr>
          <w:b/>
          <w:sz w:val="24"/>
        </w:rPr>
        <w:t>s</w:t>
      </w:r>
      <w:r w:rsidRPr="00D66387">
        <w:rPr>
          <w:b/>
          <w:sz w:val="24"/>
        </w:rPr>
        <w:t>, factuel</w:t>
      </w:r>
      <w:r>
        <w:rPr>
          <w:b/>
          <w:sz w:val="24"/>
        </w:rPr>
        <w:t>s</w:t>
      </w:r>
      <w:r w:rsidRPr="00D66387">
        <w:rPr>
          <w:b/>
          <w:sz w:val="24"/>
        </w:rPr>
        <w:t xml:space="preserve"> </w:t>
      </w:r>
      <w:r w:rsidRPr="00D66387">
        <w:rPr>
          <w:sz w:val="24"/>
        </w:rPr>
        <w:t xml:space="preserve">et </w:t>
      </w:r>
      <w:r w:rsidRPr="00D66387">
        <w:rPr>
          <w:b/>
          <w:sz w:val="24"/>
        </w:rPr>
        <w:t>simple</w:t>
      </w:r>
      <w:r>
        <w:rPr>
          <w:b/>
          <w:sz w:val="24"/>
        </w:rPr>
        <w:t>s</w:t>
      </w:r>
      <w:r w:rsidRPr="00D66387">
        <w:rPr>
          <w:sz w:val="24"/>
        </w:rPr>
        <w:t xml:space="preserve">. </w:t>
      </w:r>
    </w:p>
    <w:p w14:paraId="521A5AB1" w14:textId="77777777" w:rsidR="0053785A" w:rsidRPr="009A4C56" w:rsidRDefault="0053785A" w:rsidP="0053785A">
      <w:pPr>
        <w:rPr>
          <w:sz w:val="24"/>
        </w:rPr>
      </w:pPr>
      <w:r w:rsidRPr="00D66387">
        <w:rPr>
          <w:sz w:val="24"/>
        </w:rPr>
        <w:t xml:space="preserve">Pour être </w:t>
      </w:r>
      <w:r w:rsidRPr="00D66387">
        <w:rPr>
          <w:b/>
          <w:sz w:val="24"/>
        </w:rPr>
        <w:t>neutre</w:t>
      </w:r>
      <w:r w:rsidRPr="00D66387">
        <w:rPr>
          <w:sz w:val="24"/>
        </w:rPr>
        <w:t xml:space="preserve">, il vous faut </w:t>
      </w:r>
      <w:r w:rsidRPr="00D66387">
        <w:rPr>
          <w:sz w:val="24"/>
          <w:u w:val="single"/>
        </w:rPr>
        <w:t>supprimer une bonne partie des adverbes et adjectifs que vous utilisez habituellement</w:t>
      </w:r>
      <w:r w:rsidRPr="00D66387">
        <w:rPr>
          <w:sz w:val="24"/>
        </w:rPr>
        <w:t xml:space="preserve">. </w:t>
      </w:r>
      <w:r>
        <w:rPr>
          <w:sz w:val="24"/>
        </w:rPr>
        <w:t>Ces qualificatifs sont très souvent subjectifs, et n’ajoutent rien à votre argumentation. Ainsi pourquoi écrire le « </w:t>
      </w:r>
      <w:r w:rsidRPr="00D66387">
        <w:rPr>
          <w:i/>
          <w:sz w:val="24"/>
        </w:rPr>
        <w:t xml:space="preserve">grand roi </w:t>
      </w:r>
      <w:r>
        <w:rPr>
          <w:i/>
          <w:sz w:val="24"/>
        </w:rPr>
        <w:t>Louis XIV</w:t>
      </w:r>
      <w:r>
        <w:rPr>
          <w:sz w:val="24"/>
        </w:rPr>
        <w:t xml:space="preserve"> », quand vous pouvez sobrement utiliser « </w:t>
      </w:r>
      <w:r w:rsidRPr="00B15CE9">
        <w:rPr>
          <w:i/>
          <w:sz w:val="24"/>
        </w:rPr>
        <w:t>Louis XIV</w:t>
      </w:r>
      <w:r>
        <w:rPr>
          <w:sz w:val="24"/>
        </w:rPr>
        <w:t xml:space="preserve"> » ? </w:t>
      </w:r>
      <w:r w:rsidRPr="00D66387">
        <w:rPr>
          <w:sz w:val="24"/>
        </w:rPr>
        <w:t>Le danger de nombreuses copies est de donner un ton emphatique*. L’emphase</w:t>
      </w:r>
      <w:r w:rsidR="00CA253F">
        <w:rPr>
          <w:sz w:val="24"/>
        </w:rPr>
        <w:t xml:space="preserve"> </w:t>
      </w:r>
      <w:r w:rsidRPr="00D66387">
        <w:rPr>
          <w:sz w:val="24"/>
        </w:rPr>
        <w:t xml:space="preserve">est un procédé littéraire qui vise à tout exagérer, à en faire des tonnes. </w:t>
      </w:r>
      <w:r w:rsidR="00CA253F">
        <w:rPr>
          <w:sz w:val="24"/>
        </w:rPr>
        <w:t>Elle</w:t>
      </w:r>
      <w:r w:rsidRPr="00D66387">
        <w:rPr>
          <w:sz w:val="24"/>
        </w:rPr>
        <w:t xml:space="preserve"> est employée dans les travaux de vulgarisation de l’histoire. Cet emploi vulgarisateur découle d’une tradition scientifique : relisez Michelet en imitant Stéphane Bern, ça marche très bien ! </w:t>
      </w:r>
      <w:r w:rsidR="00CA253F">
        <w:rPr>
          <w:sz w:val="24"/>
        </w:rPr>
        <w:t xml:space="preserve">En revanche, dans la sphère universitaire, cet usage est désormais passé de mode. </w:t>
      </w:r>
      <w:r>
        <w:rPr>
          <w:sz w:val="24"/>
        </w:rPr>
        <w:t>Ce ton ampoulé peut venir d’éléments qui vous sembleraient anodins. Beaucoup d’étudiants multipliant les qualificatifs emphatiques finissent par enfoncer des portes ouvertes : ainsi celles et ceux qui parlent d’un « </w:t>
      </w:r>
      <w:r w:rsidRPr="009B2F60">
        <w:rPr>
          <w:i/>
          <w:sz w:val="24"/>
        </w:rPr>
        <w:t>massacre violent</w:t>
      </w:r>
      <w:r>
        <w:rPr>
          <w:sz w:val="24"/>
        </w:rPr>
        <w:t> » ou se sentent obligés de préciser que les guerres de religion sont une période « </w:t>
      </w:r>
      <w:r w:rsidRPr="009B2F60">
        <w:rPr>
          <w:i/>
          <w:sz w:val="24"/>
        </w:rPr>
        <w:t xml:space="preserve">de </w:t>
      </w:r>
      <w:r>
        <w:rPr>
          <w:i/>
          <w:sz w:val="24"/>
        </w:rPr>
        <w:t xml:space="preserve">très </w:t>
      </w:r>
      <w:r w:rsidRPr="009B2F60">
        <w:rPr>
          <w:i/>
          <w:sz w:val="24"/>
        </w:rPr>
        <w:t>fortes tensions entre catholiques et protestants</w:t>
      </w:r>
      <w:r>
        <w:rPr>
          <w:sz w:val="24"/>
        </w:rPr>
        <w:t> ». Parfois, cela vient d’éléments ridicules, comme une copie qui commence par « </w:t>
      </w:r>
      <w:r>
        <w:rPr>
          <w:i/>
          <w:sz w:val="24"/>
        </w:rPr>
        <w:t>Nous sommes en 1715</w:t>
      </w:r>
      <w:r>
        <w:rPr>
          <w:sz w:val="24"/>
        </w:rPr>
        <w:t xml:space="preserve"> » : si on écrit généralement l’histoire au présent, vous vivez et écrivez bien au </w:t>
      </w:r>
      <w:proofErr w:type="spellStart"/>
      <w:r w:rsidR="009C1A6B" w:rsidRPr="009C1A6B">
        <w:rPr>
          <w:smallCaps/>
          <w:sz w:val="24"/>
        </w:rPr>
        <w:t>xxi</w:t>
      </w:r>
      <w:r w:rsidRPr="00071388">
        <w:rPr>
          <w:sz w:val="24"/>
          <w:vertAlign w:val="superscript"/>
        </w:rPr>
        <w:t>e</w:t>
      </w:r>
      <w:proofErr w:type="spellEnd"/>
      <w:r>
        <w:rPr>
          <w:sz w:val="24"/>
        </w:rPr>
        <w:t xml:space="preserve"> siècle... </w:t>
      </w:r>
    </w:p>
    <w:p w14:paraId="58162ADD" w14:textId="77777777" w:rsidR="0053785A" w:rsidRPr="00215337" w:rsidRDefault="0053785A" w:rsidP="0053785A">
      <w:pPr>
        <w:pStyle w:val="Sansinterligne"/>
        <w:spacing w:before="120"/>
        <w:jc w:val="center"/>
        <w:rPr>
          <w:b/>
          <w:u w:val="single"/>
        </w:rPr>
      </w:pPr>
      <w:r w:rsidRPr="00215337">
        <w:rPr>
          <w:b/>
          <w:u w:val="single"/>
        </w:rPr>
        <w:t xml:space="preserve">Un exemple de </w:t>
      </w:r>
      <w:r>
        <w:rPr>
          <w:b/>
          <w:u w:val="single"/>
        </w:rPr>
        <w:t>texte</w:t>
      </w:r>
      <w:r w:rsidRPr="00215337">
        <w:rPr>
          <w:b/>
          <w:u w:val="single"/>
        </w:rPr>
        <w:t xml:space="preserve"> emphatique ... et comment y remédier</w:t>
      </w:r>
    </w:p>
    <w:p w14:paraId="65775612" w14:textId="77777777" w:rsidR="0053785A" w:rsidRPr="00CA253F" w:rsidRDefault="0053785A" w:rsidP="0053785A">
      <w:pPr>
        <w:pStyle w:val="Sansinterligne"/>
        <w:spacing w:after="240"/>
        <w:jc w:val="center"/>
        <w:rPr>
          <w:i/>
        </w:rPr>
      </w:pPr>
      <w:proofErr w:type="gramStart"/>
      <w:r w:rsidRPr="00CA253F">
        <w:rPr>
          <w:i/>
        </w:rPr>
        <w:t>en</w:t>
      </w:r>
      <w:proofErr w:type="gramEnd"/>
      <w:r w:rsidRPr="00CA253F">
        <w:rPr>
          <w:i/>
        </w:rPr>
        <w:t xml:space="preserve"> jaune, les éléments emphatiques ; en gris, les usages grammaticaux interdits</w:t>
      </w:r>
    </w:p>
    <w:tbl>
      <w:tblPr>
        <w:tblStyle w:val="Grilledutableau"/>
        <w:tblW w:w="953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5"/>
        <w:gridCol w:w="6901"/>
        <w:gridCol w:w="1315"/>
      </w:tblGrid>
      <w:tr w:rsidR="0053785A" w14:paraId="2D7B39DC" w14:textId="77777777" w:rsidTr="007A0B39">
        <w:trPr>
          <w:jc w:val="center"/>
        </w:trPr>
        <w:tc>
          <w:tcPr>
            <w:tcW w:w="1315" w:type="dxa"/>
            <w:tcBorders>
              <w:bottom w:val="single" w:sz="4" w:space="0" w:color="FFFFFF" w:themeColor="background1"/>
              <w:right w:val="single" w:sz="4" w:space="0" w:color="000000"/>
            </w:tcBorders>
            <w:vAlign w:val="center"/>
          </w:tcPr>
          <w:p w14:paraId="2E2DDF0F" w14:textId="77777777" w:rsidR="0053785A" w:rsidRPr="00CA253F" w:rsidRDefault="0053785A" w:rsidP="007A0B39">
            <w:pPr>
              <w:ind w:left="45" w:firstLine="0"/>
              <w:jc w:val="center"/>
              <w:rPr>
                <w:i/>
                <w:sz w:val="21"/>
              </w:rPr>
            </w:pPr>
            <w:r w:rsidRPr="00CA253F">
              <w:rPr>
                <w:i/>
                <w:sz w:val="21"/>
              </w:rPr>
              <w:t xml:space="preserve">L’extrait </w:t>
            </w:r>
            <w:r w:rsidRPr="00CA253F">
              <w:rPr>
                <w:i/>
                <w:sz w:val="21"/>
              </w:rPr>
              <w:br/>
              <w:t>originel ...</w:t>
            </w:r>
          </w:p>
        </w:tc>
        <w:tc>
          <w:tcPr>
            <w:tcW w:w="8216" w:type="dxa"/>
            <w:gridSpan w:val="2"/>
            <w:tcBorders>
              <w:left w:val="single" w:sz="4" w:space="0" w:color="000000"/>
              <w:bottom w:val="single" w:sz="4" w:space="0" w:color="FFFFFF" w:themeColor="background1"/>
            </w:tcBorders>
          </w:tcPr>
          <w:p w14:paraId="30D31938" w14:textId="77777777" w:rsidR="0053785A" w:rsidRPr="00071388" w:rsidRDefault="0053785A" w:rsidP="007A0B39">
            <w:pPr>
              <w:ind w:left="184" w:firstLine="0"/>
              <w:rPr>
                <w:i/>
                <w:sz w:val="21"/>
              </w:rPr>
            </w:pPr>
            <w:r w:rsidRPr="00CA253F">
              <w:rPr>
                <w:sz w:val="21"/>
              </w:rPr>
              <w:t xml:space="preserve">Après une lente agonie dont </w:t>
            </w:r>
            <w:proofErr w:type="spellStart"/>
            <w:r w:rsidRPr="00CA253F">
              <w:rPr>
                <w:sz w:val="21"/>
              </w:rPr>
              <w:t>Saint-Mauris</w:t>
            </w:r>
            <w:proofErr w:type="spellEnd"/>
            <w:r w:rsidRPr="00CA253F">
              <w:rPr>
                <w:sz w:val="21"/>
              </w:rPr>
              <w:t xml:space="preserve"> alerte l’empereur dès le 27 juillet 1545, la mort atteindra François I</w:t>
            </w:r>
            <w:r w:rsidRPr="00CA253F">
              <w:rPr>
                <w:sz w:val="21"/>
                <w:vertAlign w:val="superscript"/>
              </w:rPr>
              <w:t>er</w:t>
            </w:r>
            <w:r w:rsidRPr="00CA253F">
              <w:rPr>
                <w:sz w:val="21"/>
              </w:rPr>
              <w:t xml:space="preserve">, roi depuis 1515, non à Chambord, dans ce cadre qui eût si bien convenu au dernier soupir du roi chevalier, mais dans son château de Rambouillet, le 31 mars 1547. Ce laps de temps de près de deux ans va laisser tout le loisir aux adversaires du </w:t>
            </w:r>
            <w:r w:rsidRPr="00CA253F">
              <w:rPr>
                <w:sz w:val="21"/>
                <w:u w:val="single"/>
              </w:rPr>
              <w:t>vieux</w:t>
            </w:r>
            <w:r w:rsidRPr="00CA253F">
              <w:rPr>
                <w:sz w:val="21"/>
              </w:rPr>
              <w:t xml:space="preserve"> roi de préparer, à leur manière, autour du dauphin, la prise en mains du royaume.</w:t>
            </w:r>
          </w:p>
        </w:tc>
      </w:tr>
      <w:tr w:rsidR="0053785A" w14:paraId="7A2BC0BB" w14:textId="77777777" w:rsidTr="007A0B39">
        <w:trPr>
          <w:gridAfter w:val="1"/>
          <w:wAfter w:w="1315" w:type="dxa"/>
          <w:jc w:val="center"/>
        </w:trPr>
        <w:tc>
          <w:tcPr>
            <w:tcW w:w="8216" w:type="dxa"/>
            <w:gridSpan w:val="2"/>
            <w:tcBorders>
              <w:left w:val="single" w:sz="4" w:space="0" w:color="FFFFFF" w:themeColor="background1"/>
            </w:tcBorders>
          </w:tcPr>
          <w:p w14:paraId="6B676F75" w14:textId="77777777" w:rsidR="0053785A" w:rsidRPr="00036ADB" w:rsidRDefault="0053785A" w:rsidP="007A0B39">
            <w:pPr>
              <w:pStyle w:val="Sansinterligne"/>
              <w:rPr>
                <w:sz w:val="8"/>
              </w:rPr>
            </w:pPr>
          </w:p>
        </w:tc>
      </w:tr>
      <w:tr w:rsidR="0053785A" w14:paraId="0581A64C" w14:textId="77777777" w:rsidTr="007A0B39">
        <w:trPr>
          <w:gridAfter w:val="1"/>
          <w:wAfter w:w="1315" w:type="dxa"/>
          <w:jc w:val="center"/>
        </w:trPr>
        <w:tc>
          <w:tcPr>
            <w:tcW w:w="8216" w:type="dxa"/>
            <w:gridSpan w:val="2"/>
            <w:tcBorders>
              <w:left w:val="single" w:sz="4" w:space="0" w:color="FFFFFF" w:themeColor="background1"/>
            </w:tcBorders>
          </w:tcPr>
          <w:p w14:paraId="7B8DAF0E" w14:textId="77777777" w:rsidR="0053785A" w:rsidRPr="00036ADB" w:rsidRDefault="0053785A" w:rsidP="007A0B39">
            <w:pPr>
              <w:pStyle w:val="Sansinterligne"/>
              <w:rPr>
                <w:sz w:val="8"/>
              </w:rPr>
            </w:pPr>
          </w:p>
        </w:tc>
      </w:tr>
      <w:tr w:rsidR="0053785A" w14:paraId="1FBAC2B8" w14:textId="77777777" w:rsidTr="007A0B39">
        <w:trPr>
          <w:jc w:val="center"/>
        </w:trPr>
        <w:tc>
          <w:tcPr>
            <w:tcW w:w="1315" w:type="dxa"/>
            <w:tcBorders>
              <w:right w:val="single" w:sz="4" w:space="0" w:color="000000"/>
            </w:tcBorders>
            <w:vAlign w:val="center"/>
          </w:tcPr>
          <w:p w14:paraId="59D56EF9" w14:textId="77777777" w:rsidR="0053785A" w:rsidRPr="00071388" w:rsidRDefault="0053785A" w:rsidP="007A0B39">
            <w:pPr>
              <w:ind w:left="45" w:firstLine="0"/>
              <w:jc w:val="center"/>
              <w:rPr>
                <w:sz w:val="21"/>
              </w:rPr>
            </w:pPr>
            <w:r w:rsidRPr="00071388">
              <w:rPr>
                <w:i/>
                <w:sz w:val="21"/>
              </w:rPr>
              <w:t xml:space="preserve">... </w:t>
            </w:r>
            <w:r>
              <w:rPr>
                <w:i/>
                <w:sz w:val="21"/>
              </w:rPr>
              <w:t xml:space="preserve">ici </w:t>
            </w:r>
            <w:r w:rsidRPr="00071388">
              <w:rPr>
                <w:i/>
                <w:sz w:val="21"/>
              </w:rPr>
              <w:t>corrigé</w:t>
            </w:r>
          </w:p>
        </w:tc>
        <w:tc>
          <w:tcPr>
            <w:tcW w:w="8216" w:type="dxa"/>
            <w:gridSpan w:val="2"/>
            <w:tcBorders>
              <w:left w:val="single" w:sz="4" w:space="0" w:color="000000"/>
            </w:tcBorders>
          </w:tcPr>
          <w:p w14:paraId="6C0F3D97" w14:textId="77777777" w:rsidR="0053785A" w:rsidRPr="00071388" w:rsidRDefault="0053785A" w:rsidP="007A0B39">
            <w:pPr>
              <w:ind w:left="184" w:firstLine="0"/>
              <w:rPr>
                <w:sz w:val="21"/>
              </w:rPr>
            </w:pPr>
            <w:r>
              <w:rPr>
                <w:sz w:val="21"/>
              </w:rPr>
              <w:t>La mort de François I</w:t>
            </w:r>
            <w:r w:rsidRPr="00215337">
              <w:rPr>
                <w:sz w:val="21"/>
                <w:vertAlign w:val="superscript"/>
              </w:rPr>
              <w:t>er</w:t>
            </w:r>
            <w:r>
              <w:rPr>
                <w:sz w:val="21"/>
              </w:rPr>
              <w:t xml:space="preserve"> le 31 mars 1547 à Rambouillet n’est pas une surprise. Le roi est alors malade depuis plusieurs années, ce que Jean de </w:t>
            </w:r>
            <w:proofErr w:type="spellStart"/>
            <w:r>
              <w:rPr>
                <w:sz w:val="21"/>
              </w:rPr>
              <w:t>Saint-Mauris</w:t>
            </w:r>
            <w:proofErr w:type="spellEnd"/>
            <w:r>
              <w:rPr>
                <w:sz w:val="21"/>
              </w:rPr>
              <w:t xml:space="preserve"> mentionne dans sa correspondance avec l’Empereur dès juillet 1545. Ce laps de temps conséquent semble employé par une partie de la cour pour préparer, autour du dauphin Henri, la succession. </w:t>
            </w:r>
          </w:p>
        </w:tc>
      </w:tr>
    </w:tbl>
    <w:p w14:paraId="5ACCBFDE" w14:textId="77777777" w:rsidR="0053785A" w:rsidRPr="005F6B9A" w:rsidRDefault="0053785A" w:rsidP="00CA253F">
      <w:pPr>
        <w:spacing w:before="240"/>
        <w:rPr>
          <w:sz w:val="24"/>
        </w:rPr>
      </w:pPr>
      <w:r w:rsidRPr="005F6B9A">
        <w:rPr>
          <w:sz w:val="24"/>
        </w:rPr>
        <w:t>Pour être</w:t>
      </w:r>
      <w:r w:rsidRPr="005F6B9A">
        <w:rPr>
          <w:b/>
          <w:sz w:val="24"/>
        </w:rPr>
        <w:t xml:space="preserve"> factuel</w:t>
      </w:r>
      <w:r>
        <w:rPr>
          <w:b/>
          <w:sz w:val="24"/>
        </w:rPr>
        <w:t>s</w:t>
      </w:r>
      <w:r w:rsidRPr="005F6B9A">
        <w:rPr>
          <w:sz w:val="24"/>
        </w:rPr>
        <w:t xml:space="preserve">, rappelez-vous toujours que l’histoire, </w:t>
      </w:r>
      <w:r w:rsidRPr="005F6B9A">
        <w:rPr>
          <w:sz w:val="24"/>
          <w:u w:val="single"/>
        </w:rPr>
        <w:t>c’est le récit de gens qui font des trucs</w:t>
      </w:r>
      <w:r w:rsidRPr="005F6B9A">
        <w:rPr>
          <w:sz w:val="24"/>
        </w:rPr>
        <w:t xml:space="preserve">. </w:t>
      </w:r>
      <w:r w:rsidR="00CA253F">
        <w:rPr>
          <w:sz w:val="24"/>
        </w:rPr>
        <w:t>Cette définition un peu étonnante est celle de</w:t>
      </w:r>
      <w:r w:rsidRPr="005F6B9A">
        <w:rPr>
          <w:sz w:val="24"/>
        </w:rPr>
        <w:t xml:space="preserve"> Paul Veyne</w:t>
      </w:r>
      <w:r w:rsidR="00CA253F">
        <w:rPr>
          <w:sz w:val="24"/>
        </w:rPr>
        <w:t>, spécialiste de l’histoire romaine et en son temps professeur au Collège de France</w:t>
      </w:r>
      <w:r w:rsidR="00CA253F" w:rsidRPr="005F6B9A">
        <w:rPr>
          <w:rStyle w:val="Appelnotedebasdep"/>
          <w:sz w:val="24"/>
        </w:rPr>
        <w:footnoteReference w:id="5"/>
      </w:r>
      <w:r w:rsidR="00CA253F">
        <w:rPr>
          <w:sz w:val="24"/>
        </w:rPr>
        <w:t>. Dans ce sens, u</w:t>
      </w:r>
      <w:r w:rsidRPr="005F6B9A">
        <w:rPr>
          <w:sz w:val="24"/>
        </w:rPr>
        <w:t xml:space="preserve">ne copie factuelle est une copie qui revient systématiquement et précisément aux faits et aux événements. Un événement est mentionné dans un document ? Alors votre commentaire doit, à un moment donné, le </w:t>
      </w:r>
      <w:r w:rsidRPr="005F6B9A">
        <w:rPr>
          <w:i/>
          <w:sz w:val="24"/>
        </w:rPr>
        <w:t>raconter</w:t>
      </w:r>
      <w:r w:rsidRPr="005F6B9A">
        <w:rPr>
          <w:sz w:val="24"/>
        </w:rPr>
        <w:t>. Généralement, c’est au cœur de vos sous-parties que cela se joue, dans les ‘</w:t>
      </w:r>
      <w:r w:rsidR="00CA253F">
        <w:rPr>
          <w:sz w:val="24"/>
        </w:rPr>
        <w:t>connaissances externes’</w:t>
      </w:r>
      <w:r w:rsidRPr="005F6B9A">
        <w:rPr>
          <w:sz w:val="24"/>
        </w:rPr>
        <w:t>. C’est ce qui différencie une copie fondée sur des connaissances solides et concrètes d’une copie tentant vainement de noyer le poisson. L’un des défauts</w:t>
      </w:r>
      <w:r>
        <w:rPr>
          <w:sz w:val="24"/>
        </w:rPr>
        <w:t xml:space="preserve"> </w:t>
      </w:r>
      <w:r w:rsidRPr="005F6B9A">
        <w:rPr>
          <w:sz w:val="24"/>
        </w:rPr>
        <w:t xml:space="preserve">serait de virer dans l’histoire-fiction : vous n’êtes pas là pour inventer mais pour commenter des choses réelles.  </w:t>
      </w:r>
      <w:r>
        <w:rPr>
          <w:sz w:val="24"/>
        </w:rPr>
        <w:t>La factualité d’une copie passe enfin par l’</w:t>
      </w:r>
      <w:r w:rsidRPr="00A82AFB">
        <w:rPr>
          <w:sz w:val="24"/>
          <w:u w:val="single"/>
        </w:rPr>
        <w:t xml:space="preserve">emploi d’un </w:t>
      </w:r>
      <w:r w:rsidRPr="00A82AFB">
        <w:rPr>
          <w:sz w:val="24"/>
          <w:u w:val="single"/>
        </w:rPr>
        <w:lastRenderedPageBreak/>
        <w:t>vocabulaire précis</w:t>
      </w:r>
      <w:r>
        <w:rPr>
          <w:sz w:val="24"/>
        </w:rPr>
        <w:t xml:space="preserve">, choisi et ciblé. Votre copie doit abonder de termes clés, vus en cours magistral comme au cours des TD. La précision vous permet aussi de ne pas tourner autour du pot...  </w:t>
      </w:r>
    </w:p>
    <w:p w14:paraId="7BE99C3C" w14:textId="77777777" w:rsidR="0053785A" w:rsidRDefault="0053785A" w:rsidP="0053785A">
      <w:pPr>
        <w:rPr>
          <w:sz w:val="24"/>
        </w:rPr>
      </w:pPr>
      <w:r>
        <w:rPr>
          <w:sz w:val="24"/>
        </w:rPr>
        <w:t>Enfin, s</w:t>
      </w:r>
      <w:r w:rsidRPr="005F6B9A">
        <w:rPr>
          <w:sz w:val="24"/>
        </w:rPr>
        <w:t>oyez</w:t>
      </w:r>
      <w:r w:rsidRPr="005F6B9A">
        <w:rPr>
          <w:b/>
          <w:sz w:val="24"/>
        </w:rPr>
        <w:t xml:space="preserve"> simples</w:t>
      </w:r>
      <w:r w:rsidRPr="005F6B9A">
        <w:rPr>
          <w:sz w:val="24"/>
        </w:rPr>
        <w:t xml:space="preserve"> ! </w:t>
      </w:r>
      <w:r>
        <w:rPr>
          <w:sz w:val="24"/>
        </w:rPr>
        <w:t>Toute démonstration peut être réalisée simplement</w:t>
      </w:r>
      <w:r w:rsidRPr="005F6B9A">
        <w:rPr>
          <w:sz w:val="24"/>
        </w:rPr>
        <w:t>. Faites des phrases courtes. Évitez les mots compliqués. Évitez les concepts que vous ne maitrisez pas. Évitez également de chercher de la « symbolique » et de lire les événements à travers un prisme philosophico-politico-</w:t>
      </w:r>
      <w:r>
        <w:rPr>
          <w:sz w:val="24"/>
        </w:rPr>
        <w:t>ésotérique</w:t>
      </w:r>
      <w:r w:rsidRPr="005F6B9A">
        <w:rPr>
          <w:sz w:val="24"/>
        </w:rPr>
        <w:t xml:space="preserve">. Avant de passer par les étapes compliquées, il faut d’abord dire les choses les plus concrètes, le plus simplement possible. Rappelez-vous toujours, en écrivant, que votre correcteur doit comprendre rapidement ce que vous essayez de lui dire. Alors épurez votre écriture le plus possible. Ainsi, </w:t>
      </w:r>
      <w:r>
        <w:rPr>
          <w:sz w:val="24"/>
        </w:rPr>
        <w:t>lorsque vous écrivez</w:t>
      </w:r>
      <w:r w:rsidRPr="005F6B9A">
        <w:rPr>
          <w:sz w:val="24"/>
        </w:rPr>
        <w:t> : « </w:t>
      </w:r>
      <w:r w:rsidRPr="005F6B9A">
        <w:rPr>
          <w:i/>
          <w:sz w:val="24"/>
        </w:rPr>
        <w:t>En effet, en 1648, la monarchie doit faire face à des tensions pour des raisons fiscales, due à une poussée ascendante des impôts pour financer les guerres</w:t>
      </w:r>
      <w:r w:rsidRPr="005F6B9A">
        <w:rPr>
          <w:sz w:val="24"/>
        </w:rPr>
        <w:t xml:space="preserve"> », </w:t>
      </w:r>
      <w:r>
        <w:rPr>
          <w:sz w:val="24"/>
        </w:rPr>
        <w:t>vous pourriez</w:t>
      </w:r>
      <w:r w:rsidRPr="005F6B9A">
        <w:rPr>
          <w:sz w:val="24"/>
        </w:rPr>
        <w:t xml:space="preserve"> dire « </w:t>
      </w:r>
      <w:r w:rsidRPr="005F6B9A">
        <w:rPr>
          <w:i/>
          <w:sz w:val="24"/>
        </w:rPr>
        <w:t>En 1648, de nouvelles hausses d’impôts (liées à la guerre de Trente ans) mettent le feu aux poudres entre Mazarin et le Parlement</w:t>
      </w:r>
      <w:r w:rsidRPr="005F6B9A">
        <w:rPr>
          <w:sz w:val="24"/>
        </w:rPr>
        <w:t xml:space="preserve"> ». La seconde formule est non seulement plus simple, mais aussi plus complète, parce que les mots compliqués ont laissé la place... à des </w:t>
      </w:r>
      <w:r w:rsidR="008812B6">
        <w:rPr>
          <w:sz w:val="24"/>
        </w:rPr>
        <w:t>connaissances factuelles</w:t>
      </w:r>
      <w:r w:rsidRPr="005F6B9A">
        <w:rPr>
          <w:sz w:val="24"/>
        </w:rPr>
        <w:t xml:space="preserve">. </w:t>
      </w:r>
    </w:p>
    <w:p w14:paraId="4C1B9BEA" w14:textId="77777777" w:rsidR="0053785A" w:rsidRPr="00A82AFB" w:rsidRDefault="0053785A" w:rsidP="0053785A">
      <w:pPr>
        <w:rPr>
          <w:sz w:val="24"/>
        </w:rPr>
      </w:pPr>
      <w:r>
        <w:rPr>
          <w:sz w:val="24"/>
        </w:rPr>
        <w:t>Pour vous aider, voici quelques cas de phrases corrigées. Par exemple, « </w:t>
      </w:r>
      <w:r w:rsidRPr="00A82AFB">
        <w:rPr>
          <w:i/>
          <w:sz w:val="24"/>
        </w:rPr>
        <w:t>cette mazarinade est rédigée dans un contexte de Fronde qui a lieu entre 1648 et 1652</w:t>
      </w:r>
      <w:r>
        <w:rPr>
          <w:sz w:val="24"/>
        </w:rPr>
        <w:t> » devient « </w:t>
      </w:r>
      <w:r w:rsidRPr="00A82AFB">
        <w:rPr>
          <w:i/>
          <w:sz w:val="24"/>
        </w:rPr>
        <w:t>Cette mazarinade est rédigée pendant la Fronde (1648-1652)</w:t>
      </w:r>
      <w:r>
        <w:rPr>
          <w:sz w:val="24"/>
        </w:rPr>
        <w:t> ». De même, « </w:t>
      </w:r>
      <w:r w:rsidRPr="00A82AFB">
        <w:rPr>
          <w:i/>
          <w:sz w:val="24"/>
        </w:rPr>
        <w:t>C’est ainsi que 5000 mazarinades vont être écrites entre 1648 et 1652, dont 1200 vont être faites entre janvier et avril</w:t>
      </w:r>
      <w:r>
        <w:rPr>
          <w:sz w:val="24"/>
        </w:rPr>
        <w:t> » peut s’écrire « </w:t>
      </w:r>
      <w:r w:rsidRPr="00A82AFB">
        <w:rPr>
          <w:i/>
          <w:sz w:val="24"/>
        </w:rPr>
        <w:t>Au total, 5000 mazarinades sont écrites entre 1648 et 1652,</w:t>
      </w:r>
      <w:r>
        <w:rPr>
          <w:rFonts w:ascii="MS Mincho" w:eastAsia="MS Mincho" w:hAnsi="MS Mincho" w:cs="MS Mincho" w:hint="eastAsia"/>
          <w:i/>
          <w:sz w:val="24"/>
        </w:rPr>
        <w:t xml:space="preserve"> </w:t>
      </w:r>
      <w:r w:rsidRPr="00A82AFB">
        <w:rPr>
          <w:i/>
          <w:sz w:val="24"/>
        </w:rPr>
        <w:t>dont 1200 entre janvier et avril 1649</w:t>
      </w:r>
      <w:r>
        <w:rPr>
          <w:sz w:val="24"/>
        </w:rPr>
        <w:t> ». Évitez également, quand vous présentez l’auteur ou tout autre acteur historique, d’écrire une phrase du type « </w:t>
      </w:r>
      <w:r w:rsidRPr="00A82AFB">
        <w:rPr>
          <w:i/>
          <w:sz w:val="24"/>
        </w:rPr>
        <w:t>Anne de Pisseleu est née en 1508 et morte en 1580</w:t>
      </w:r>
      <w:r>
        <w:rPr>
          <w:sz w:val="24"/>
        </w:rPr>
        <w:t> ». Préférez un sobre « </w:t>
      </w:r>
      <w:r w:rsidRPr="00A82AFB">
        <w:rPr>
          <w:i/>
          <w:sz w:val="24"/>
        </w:rPr>
        <w:t>Anne de Pisseleu (1508-1580), (...)</w:t>
      </w:r>
      <w:r>
        <w:rPr>
          <w:sz w:val="24"/>
        </w:rPr>
        <w:t xml:space="preserve"> ». Ce sont ces coquilles qu’il faut vous employer à réduire pour </w:t>
      </w:r>
      <w:r>
        <w:rPr>
          <w:b/>
          <w:sz w:val="24"/>
        </w:rPr>
        <w:t>densifier votre écriture</w:t>
      </w:r>
      <w:r>
        <w:rPr>
          <w:sz w:val="24"/>
        </w:rPr>
        <w:t xml:space="preserve">. Si cela peut apparaître paradoxal au premier abord, </w:t>
      </w:r>
      <w:r w:rsidRPr="007B04AC">
        <w:rPr>
          <w:sz w:val="24"/>
          <w:u w:val="single"/>
        </w:rPr>
        <w:t>les copies écrites le plus simplement sont aussi les plus complètes</w:t>
      </w:r>
      <w:r>
        <w:rPr>
          <w:sz w:val="24"/>
        </w:rPr>
        <w:t xml:space="preserve"> : les mots « inutiles » sont remplacés par des faits et des réflexions qui apportent toute son ampleur à la démonstration. </w:t>
      </w:r>
    </w:p>
    <w:p w14:paraId="5A392C0F" w14:textId="77777777" w:rsidR="008812B6" w:rsidRPr="008812B6" w:rsidRDefault="0053785A" w:rsidP="008812B6">
      <w:pPr>
        <w:rPr>
          <w:sz w:val="24"/>
        </w:rPr>
      </w:pPr>
      <w:r w:rsidRPr="005F6B9A">
        <w:rPr>
          <w:sz w:val="24"/>
        </w:rPr>
        <w:t xml:space="preserve">Pour finir, voici quelques rappels, selon trois catégories. Sont TOTALEMENT </w:t>
      </w:r>
      <w:r>
        <w:rPr>
          <w:sz w:val="24"/>
        </w:rPr>
        <w:t>PROHIBÉS</w:t>
      </w:r>
      <w:r w:rsidRPr="005F6B9A">
        <w:rPr>
          <w:sz w:val="24"/>
        </w:rPr>
        <w:t xml:space="preserve"> : l’usage du futur (aller + indicatif étant un futur déguisé), les jugements de valeur (allant de « c’est vachement bien pour l’époque » à « ils pourraient tout de même faire preuve de plus d’ouverture d’esprit ») ou encore les démonstrations à caractère téléologique (vous n’êtes pas Madame Irma, le but n’est pas d’expliquer ce qu’il se passe </w:t>
      </w:r>
      <w:r w:rsidRPr="005F6B9A">
        <w:rPr>
          <w:i/>
          <w:sz w:val="24"/>
        </w:rPr>
        <w:t>après</w:t>
      </w:r>
      <w:r w:rsidRPr="005F6B9A">
        <w:rPr>
          <w:sz w:val="24"/>
        </w:rPr>
        <w:t xml:space="preserve"> les faits commentés).  Il est DANGEREUX d’écrire vos copies au passé, tout bonnement parce que vous ne maitrisez généralement pas le passé simple, sans parler du subjonctif imparfait, que vous seriez amenés à employer pour chaque subordonnée. Les subordonnées justement sont des formes syntaxiques que vous maitrisez peu. Faites des phrases simples (le fameux sujet, verbe, complément). Il est en revanche TRÈS BIEN VU d’</w:t>
      </w:r>
      <w:r w:rsidRPr="005F6B9A">
        <w:rPr>
          <w:sz w:val="24"/>
          <w:u w:val="single"/>
        </w:rPr>
        <w:t>utiliser le conditionnel lorsque vous interprétez un document</w:t>
      </w:r>
      <w:r w:rsidRPr="005F6B9A">
        <w:rPr>
          <w:sz w:val="24"/>
        </w:rPr>
        <w:t xml:space="preserve"> (c’est une preuve d’humilité) ; de même que d’</w:t>
      </w:r>
      <w:r w:rsidRPr="005F6B9A">
        <w:rPr>
          <w:sz w:val="24"/>
          <w:u w:val="single"/>
        </w:rPr>
        <w:t>employer des phrases courtes</w:t>
      </w:r>
      <w:r w:rsidRPr="005F6B9A">
        <w:rPr>
          <w:sz w:val="24"/>
        </w:rPr>
        <w:t xml:space="preserve"> et de s’</w:t>
      </w:r>
      <w:r w:rsidRPr="005F6B9A">
        <w:rPr>
          <w:sz w:val="24"/>
          <w:u w:val="single"/>
        </w:rPr>
        <w:t>appuyer systématiquement sur des faits</w:t>
      </w:r>
      <w:r w:rsidRPr="005F6B9A">
        <w:rPr>
          <w:sz w:val="24"/>
        </w:rPr>
        <w:t>.</w:t>
      </w:r>
      <w:r w:rsidR="008812B6">
        <w:rPr>
          <w:sz w:val="24"/>
        </w:rPr>
        <w:t xml:space="preserve"> Enfin, l’usage du « NOUS » dans une copie est de plus en plus discuté : </w:t>
      </w:r>
      <w:proofErr w:type="spellStart"/>
      <w:r w:rsidR="008812B6">
        <w:rPr>
          <w:sz w:val="24"/>
        </w:rPr>
        <w:t>certain-es</w:t>
      </w:r>
      <w:proofErr w:type="spellEnd"/>
      <w:r w:rsidR="008812B6">
        <w:rPr>
          <w:sz w:val="24"/>
        </w:rPr>
        <w:t xml:space="preserve"> de vos </w:t>
      </w:r>
      <w:proofErr w:type="spellStart"/>
      <w:r w:rsidR="008812B6">
        <w:rPr>
          <w:sz w:val="24"/>
        </w:rPr>
        <w:t>enseignant-es</w:t>
      </w:r>
      <w:proofErr w:type="spellEnd"/>
      <w:r w:rsidR="008812B6">
        <w:rPr>
          <w:sz w:val="24"/>
        </w:rPr>
        <w:t xml:space="preserve"> l’accepteront et d’autres non. Le mieux est d’adopter un ton le plus neutre possible. Par exemple, au lieu de dire « </w:t>
      </w:r>
      <w:r w:rsidR="008812B6" w:rsidRPr="008812B6">
        <w:rPr>
          <w:i/>
          <w:sz w:val="24"/>
        </w:rPr>
        <w:t>le texte nous permet de comprendre</w:t>
      </w:r>
      <w:r w:rsidR="008812B6">
        <w:rPr>
          <w:sz w:val="24"/>
        </w:rPr>
        <w:t> », vous pouvez simplement dire « </w:t>
      </w:r>
      <w:r w:rsidR="008812B6" w:rsidRPr="008812B6">
        <w:rPr>
          <w:i/>
          <w:sz w:val="24"/>
        </w:rPr>
        <w:t>le texte permet de comprendre</w:t>
      </w:r>
      <w:r w:rsidR="008812B6">
        <w:rPr>
          <w:sz w:val="24"/>
        </w:rPr>
        <w:t xml:space="preserve"> » ; de même, faites attention aux formules comme « l’auteur </w:t>
      </w:r>
      <w:r w:rsidR="008812B6">
        <w:rPr>
          <w:i/>
          <w:sz w:val="24"/>
        </w:rPr>
        <w:t>nous</w:t>
      </w:r>
      <w:r w:rsidR="008812B6">
        <w:rPr>
          <w:sz w:val="24"/>
        </w:rPr>
        <w:t xml:space="preserve"> dit que » : l’auteur ne </w:t>
      </w:r>
      <w:r w:rsidR="008812B6">
        <w:rPr>
          <w:i/>
          <w:sz w:val="24"/>
        </w:rPr>
        <w:t>vous</w:t>
      </w:r>
      <w:r w:rsidR="008812B6">
        <w:rPr>
          <w:sz w:val="24"/>
        </w:rPr>
        <w:t xml:space="preserve"> dit rien, il ou elle n’a pas écrit pour </w:t>
      </w:r>
      <w:r w:rsidR="008812B6">
        <w:rPr>
          <w:i/>
          <w:sz w:val="24"/>
        </w:rPr>
        <w:t>vous</w:t>
      </w:r>
      <w:r w:rsidR="008812B6">
        <w:rPr>
          <w:sz w:val="24"/>
        </w:rPr>
        <w:t xml:space="preserve"> et vous n’avez, a priori, rien pour le/la contacter directement ... </w:t>
      </w:r>
    </w:p>
    <w:p w14:paraId="5E5C234C" w14:textId="77777777" w:rsidR="0053785A" w:rsidRDefault="0053785A" w:rsidP="0053785A"/>
    <w:p w14:paraId="0FC31160" w14:textId="77777777" w:rsidR="0053785A" w:rsidRDefault="0053785A">
      <w:pPr>
        <w:spacing w:line="259" w:lineRule="auto"/>
        <w:ind w:firstLine="0"/>
        <w:jc w:val="left"/>
      </w:pPr>
      <w:r>
        <w:br w:type="page"/>
      </w:r>
    </w:p>
    <w:p w14:paraId="497E3F87" w14:textId="77777777" w:rsidR="0053785A" w:rsidRDefault="0053785A" w:rsidP="0053785A">
      <w:pPr>
        <w:pStyle w:val="Titre"/>
        <w:rPr>
          <w:b/>
        </w:rPr>
      </w:pPr>
      <w:bookmarkStart w:id="16" w:name="_Toc185425576"/>
      <w:r>
        <w:lastRenderedPageBreak/>
        <w:t xml:space="preserve">Annexe </w:t>
      </w:r>
      <w:r w:rsidR="003C37DD">
        <w:t>4</w:t>
      </w:r>
      <w:r>
        <w:br/>
      </w:r>
      <w:r w:rsidR="007D38CC">
        <w:rPr>
          <w:b/>
        </w:rPr>
        <w:t>Bibliographie générale</w:t>
      </w:r>
      <w:bookmarkEnd w:id="16"/>
    </w:p>
    <w:p w14:paraId="0B580BF7" w14:textId="77777777" w:rsidR="007D38CC" w:rsidRPr="00A01ED7" w:rsidRDefault="007D38CC" w:rsidP="007D38CC">
      <w:pPr>
        <w:pStyle w:val="Biblio"/>
        <w:rPr>
          <w:smallCaps w:val="0"/>
        </w:rPr>
      </w:pPr>
      <w:r w:rsidRPr="00A01ED7">
        <w:rPr>
          <w:smallCaps w:val="0"/>
        </w:rPr>
        <w:t xml:space="preserve">Les références suivies du symbole </w:t>
      </w:r>
      <w:r w:rsidRPr="00A01ED7">
        <w:rPr>
          <w:smallCaps w:val="0"/>
        </w:rPr>
        <w:sym w:font="Wingdings" w:char="F074"/>
      </w:r>
      <w:r w:rsidRPr="00A01ED7">
        <w:rPr>
          <w:smallCaps w:val="0"/>
        </w:rPr>
        <w:t xml:space="preserve"> sont disponibles en ligne et assorties d’un lien hypertexte. </w:t>
      </w:r>
      <w:r w:rsidR="00DA376F">
        <w:rPr>
          <w:smallCaps w:val="0"/>
        </w:rPr>
        <w:br/>
        <w:t xml:space="preserve">Les références précédées d’une ou plusieurs *** sont considérées comme indispensables. </w:t>
      </w:r>
    </w:p>
    <w:p w14:paraId="4BCFC81D" w14:textId="77777777" w:rsidR="0053785A" w:rsidRPr="00A01ED7" w:rsidRDefault="007D38CC" w:rsidP="007D38CC">
      <w:pPr>
        <w:pStyle w:val="Titre1"/>
        <w:rPr>
          <w:b w:val="0"/>
        </w:rPr>
      </w:pPr>
      <w:r w:rsidRPr="00A01ED7">
        <w:t xml:space="preserve">Dictionnaires </w:t>
      </w:r>
      <w:r w:rsidRPr="00A01ED7">
        <w:rPr>
          <w:b w:val="0"/>
        </w:rPr>
        <w:t>(vos nouveaux meilleurs amis</w:t>
      </w:r>
      <w:r w:rsidR="00350F0A">
        <w:rPr>
          <w:b w:val="0"/>
        </w:rPr>
        <w:t> !</w:t>
      </w:r>
      <w:r w:rsidRPr="00A01ED7">
        <w:rPr>
          <w:b w:val="0"/>
        </w:rPr>
        <w:t>)</w:t>
      </w:r>
    </w:p>
    <w:p w14:paraId="7D3CE203" w14:textId="77777777" w:rsidR="007D38CC" w:rsidRPr="00A01ED7" w:rsidRDefault="00DA376F" w:rsidP="007D38CC">
      <w:pPr>
        <w:pStyle w:val="Biblio"/>
        <w:rPr>
          <w:smallCaps w:val="0"/>
        </w:rPr>
      </w:pPr>
      <w:r>
        <w:t>***</w:t>
      </w:r>
      <w:proofErr w:type="spellStart"/>
      <w:r w:rsidR="007D38CC" w:rsidRPr="00A01ED7">
        <w:t>Bély</w:t>
      </w:r>
      <w:proofErr w:type="spellEnd"/>
      <w:r w:rsidR="007D38CC" w:rsidRPr="00A01ED7">
        <w:rPr>
          <w:smallCaps w:val="0"/>
        </w:rPr>
        <w:t xml:space="preserve">, Lucien, </w:t>
      </w:r>
      <w:r w:rsidR="007D38CC" w:rsidRPr="00A01ED7">
        <w:rPr>
          <w:i/>
          <w:smallCaps w:val="0"/>
        </w:rPr>
        <w:t>Dictionnaire de l’Ancien régime</w:t>
      </w:r>
      <w:r w:rsidR="007D38CC" w:rsidRPr="00A01ED7">
        <w:rPr>
          <w:smallCaps w:val="0"/>
        </w:rPr>
        <w:t xml:space="preserve">, Paris, Presses universitaires de France, 1996. </w:t>
      </w:r>
    </w:p>
    <w:p w14:paraId="23B7995C" w14:textId="77777777" w:rsidR="007D38CC" w:rsidRPr="00A01ED7" w:rsidRDefault="00DA376F" w:rsidP="007D38CC">
      <w:pPr>
        <w:pStyle w:val="Biblio"/>
        <w:rPr>
          <w:smallCaps w:val="0"/>
        </w:rPr>
      </w:pPr>
      <w:r>
        <w:t>**</w:t>
      </w:r>
      <w:proofErr w:type="spellStart"/>
      <w:r w:rsidR="007D38CC" w:rsidRPr="00A01ED7">
        <w:t>Bluche</w:t>
      </w:r>
      <w:proofErr w:type="spellEnd"/>
      <w:r w:rsidR="007D38CC" w:rsidRPr="00A01ED7">
        <w:rPr>
          <w:smallCaps w:val="0"/>
        </w:rPr>
        <w:t xml:space="preserve">, François, </w:t>
      </w:r>
      <w:r w:rsidR="007D38CC" w:rsidRPr="00A01ED7">
        <w:rPr>
          <w:i/>
          <w:smallCaps w:val="0"/>
        </w:rPr>
        <w:t>Dictionnaire du Grand Siècle</w:t>
      </w:r>
      <w:r w:rsidR="007D38CC" w:rsidRPr="00A01ED7">
        <w:rPr>
          <w:smallCaps w:val="0"/>
        </w:rPr>
        <w:t xml:space="preserve">, Paris, Fayard, 1990. </w:t>
      </w:r>
    </w:p>
    <w:p w14:paraId="55831318" w14:textId="77777777" w:rsidR="007D38CC" w:rsidRPr="00A01ED7" w:rsidRDefault="007D38CC" w:rsidP="007D38CC">
      <w:pPr>
        <w:pStyle w:val="Biblio"/>
        <w:rPr>
          <w:smallCaps w:val="0"/>
        </w:rPr>
      </w:pPr>
      <w:proofErr w:type="spellStart"/>
      <w:r w:rsidRPr="00A01ED7">
        <w:t>Jouanna</w:t>
      </w:r>
      <w:proofErr w:type="spellEnd"/>
      <w:r w:rsidRPr="00A01ED7">
        <w:rPr>
          <w:smallCaps w:val="0"/>
        </w:rPr>
        <w:t xml:space="preserve">, Arlette, </w:t>
      </w:r>
      <w:r w:rsidRPr="00A01ED7">
        <w:t>Hamon</w:t>
      </w:r>
      <w:r w:rsidRPr="00A01ED7">
        <w:rPr>
          <w:smallCaps w:val="0"/>
        </w:rPr>
        <w:t xml:space="preserve">, Philippe, </w:t>
      </w:r>
      <w:proofErr w:type="spellStart"/>
      <w:r w:rsidRPr="00A01ED7">
        <w:t>Biloghi</w:t>
      </w:r>
      <w:proofErr w:type="spellEnd"/>
      <w:r w:rsidRPr="00A01ED7">
        <w:rPr>
          <w:smallCaps w:val="0"/>
        </w:rPr>
        <w:t xml:space="preserve">, Dominique, </w:t>
      </w:r>
      <w:r w:rsidRPr="00A01ED7">
        <w:t xml:space="preserve">Le </w:t>
      </w:r>
      <w:proofErr w:type="spellStart"/>
      <w:r w:rsidRPr="00A01ED7">
        <w:t>Thiec</w:t>
      </w:r>
      <w:proofErr w:type="spellEnd"/>
      <w:r w:rsidRPr="00A01ED7">
        <w:rPr>
          <w:smallCaps w:val="0"/>
        </w:rPr>
        <w:t xml:space="preserve">, Guy, </w:t>
      </w:r>
      <w:r w:rsidRPr="00A01ED7">
        <w:rPr>
          <w:i/>
          <w:smallCaps w:val="0"/>
        </w:rPr>
        <w:t xml:space="preserve">La France de la Renaissance. </w:t>
      </w:r>
      <w:r w:rsidRPr="00A01ED7">
        <w:rPr>
          <w:i/>
          <w:smallCaps w:val="0"/>
        </w:rPr>
        <w:br/>
        <w:t xml:space="preserve">  Histoire et dictionnaire</w:t>
      </w:r>
      <w:r w:rsidRPr="00A01ED7">
        <w:rPr>
          <w:smallCaps w:val="0"/>
        </w:rPr>
        <w:t xml:space="preserve">, Paris, Robert Laffont, 2001. </w:t>
      </w:r>
    </w:p>
    <w:p w14:paraId="20807429" w14:textId="77777777" w:rsidR="007D38CC" w:rsidRPr="00A01ED7" w:rsidRDefault="007D38CC" w:rsidP="007D38CC">
      <w:pPr>
        <w:pStyle w:val="Titre1"/>
      </w:pPr>
      <w:r w:rsidRPr="00A01ED7">
        <w:t>Atlas</w:t>
      </w:r>
    </w:p>
    <w:p w14:paraId="7AF506B5" w14:textId="77777777" w:rsidR="000E16A3" w:rsidRPr="000E16A3" w:rsidRDefault="000E16A3" w:rsidP="000E16A3">
      <w:pPr>
        <w:pStyle w:val="Biblio"/>
        <w:rPr>
          <w:smallCaps w:val="0"/>
          <w:sz w:val="21"/>
          <w:szCs w:val="21"/>
        </w:rPr>
      </w:pPr>
      <w:proofErr w:type="spellStart"/>
      <w:r w:rsidRPr="000E16A3">
        <w:rPr>
          <w:sz w:val="21"/>
          <w:szCs w:val="21"/>
        </w:rPr>
        <w:t>Boutier</w:t>
      </w:r>
      <w:proofErr w:type="spellEnd"/>
      <w:r>
        <w:rPr>
          <w:smallCaps w:val="0"/>
          <w:sz w:val="21"/>
          <w:szCs w:val="21"/>
        </w:rPr>
        <w:t xml:space="preserve">, </w:t>
      </w:r>
      <w:r w:rsidRPr="000E16A3">
        <w:rPr>
          <w:smallCaps w:val="0"/>
          <w:sz w:val="21"/>
          <w:szCs w:val="21"/>
        </w:rPr>
        <w:t xml:space="preserve">Jean, </w:t>
      </w:r>
      <w:r w:rsidRPr="000E16A3">
        <w:rPr>
          <w:i/>
          <w:smallCaps w:val="0"/>
          <w:sz w:val="21"/>
          <w:szCs w:val="21"/>
        </w:rPr>
        <w:t>Atlas de l'histoire de France. La France moderne, XVIe-XIXe siècle</w:t>
      </w:r>
      <w:r w:rsidRPr="000E16A3">
        <w:rPr>
          <w:smallCaps w:val="0"/>
          <w:sz w:val="21"/>
          <w:szCs w:val="21"/>
        </w:rPr>
        <w:t xml:space="preserve">, Paris, Autrement, 2006. </w:t>
      </w:r>
    </w:p>
    <w:p w14:paraId="250F4857" w14:textId="77777777" w:rsidR="000E16A3" w:rsidRDefault="000E16A3" w:rsidP="000E16A3">
      <w:pPr>
        <w:pStyle w:val="Biblio"/>
        <w:rPr>
          <w:smallCaps w:val="0"/>
          <w:sz w:val="21"/>
          <w:szCs w:val="21"/>
        </w:rPr>
      </w:pPr>
      <w:r w:rsidRPr="000E16A3">
        <w:rPr>
          <w:sz w:val="21"/>
          <w:szCs w:val="21"/>
        </w:rPr>
        <w:t>Cornette</w:t>
      </w:r>
      <w:r w:rsidRPr="000E16A3">
        <w:rPr>
          <w:smallCaps w:val="0"/>
          <w:sz w:val="21"/>
          <w:szCs w:val="21"/>
        </w:rPr>
        <w:t xml:space="preserve">, Joël (dir.), </w:t>
      </w:r>
      <w:r w:rsidRPr="000E16A3">
        <w:rPr>
          <w:i/>
          <w:smallCaps w:val="0"/>
          <w:sz w:val="21"/>
          <w:szCs w:val="21"/>
        </w:rPr>
        <w:t>Atlas de l’histoire de France</w:t>
      </w:r>
      <w:r w:rsidRPr="000E16A3">
        <w:rPr>
          <w:smallCaps w:val="0"/>
          <w:sz w:val="21"/>
          <w:szCs w:val="21"/>
        </w:rPr>
        <w:t>, Paris, Belin, 2016</w:t>
      </w:r>
      <w:r>
        <w:rPr>
          <w:smallCaps w:val="0"/>
          <w:sz w:val="21"/>
          <w:szCs w:val="21"/>
        </w:rPr>
        <w:t xml:space="preserve">. </w:t>
      </w:r>
    </w:p>
    <w:p w14:paraId="5656EB60" w14:textId="77777777" w:rsidR="000E16A3" w:rsidRPr="000E16A3" w:rsidRDefault="000E16A3" w:rsidP="000E16A3">
      <w:pPr>
        <w:pStyle w:val="Biblio"/>
        <w:rPr>
          <w:smallCaps w:val="0"/>
        </w:rPr>
      </w:pPr>
      <w:r>
        <w:rPr>
          <w:i/>
          <w:smallCaps w:val="0"/>
        </w:rPr>
        <w:t>*</w:t>
      </w:r>
      <w:r w:rsidRPr="000E16A3">
        <w:rPr>
          <w:i/>
          <w:smallCaps w:val="0"/>
        </w:rPr>
        <w:t xml:space="preserve">Nouvel atlas </w:t>
      </w:r>
      <w:r>
        <w:rPr>
          <w:i/>
          <w:smallCaps w:val="0"/>
        </w:rPr>
        <w:t>de l’histoire de France</w:t>
      </w:r>
      <w:r>
        <w:rPr>
          <w:smallCaps w:val="0"/>
        </w:rPr>
        <w:t>, Paris, Autrement, 2016.</w:t>
      </w:r>
      <w:r w:rsidR="00476A02">
        <w:rPr>
          <w:smallCaps w:val="0"/>
        </w:rPr>
        <w:t xml:space="preserve"> </w:t>
      </w:r>
      <w:r w:rsidR="00476A02" w:rsidRPr="00A01ED7">
        <w:rPr>
          <w:smallCaps w:val="0"/>
        </w:rPr>
        <w:sym w:font="Wingdings" w:char="F074"/>
      </w:r>
    </w:p>
    <w:p w14:paraId="5F909D70" w14:textId="77777777" w:rsidR="00D23893" w:rsidRPr="00350F0A" w:rsidRDefault="007D38CC" w:rsidP="00350F0A">
      <w:pPr>
        <w:pStyle w:val="Titre1"/>
      </w:pPr>
      <w:r w:rsidRPr="00A01ED7">
        <w:t>Manuels et ouvrages généraux</w:t>
      </w:r>
    </w:p>
    <w:p w14:paraId="49F4AA2D" w14:textId="77777777" w:rsidR="00181056" w:rsidRPr="00350F0A" w:rsidRDefault="00181056" w:rsidP="00350F0A">
      <w:pPr>
        <w:pStyle w:val="Biblio"/>
        <w:rPr>
          <w:smallCaps w:val="0"/>
        </w:rPr>
      </w:pPr>
      <w:r w:rsidRPr="00350F0A">
        <w:rPr>
          <w:szCs w:val="22"/>
        </w:rPr>
        <w:t>Boisson</w:t>
      </w:r>
      <w:r w:rsidRPr="00350F0A">
        <w:rPr>
          <w:smallCaps w:val="0"/>
        </w:rPr>
        <w:t xml:space="preserve">, Didier, </w:t>
      </w:r>
      <w:proofErr w:type="spellStart"/>
      <w:r w:rsidRPr="00350F0A">
        <w:rPr>
          <w:szCs w:val="22"/>
        </w:rPr>
        <w:t>Daussy</w:t>
      </w:r>
      <w:proofErr w:type="spellEnd"/>
      <w:r w:rsidRPr="00350F0A">
        <w:rPr>
          <w:smallCaps w:val="0"/>
        </w:rPr>
        <w:t xml:space="preserve">, Hugues, </w:t>
      </w:r>
      <w:r w:rsidRPr="00350F0A">
        <w:rPr>
          <w:i/>
          <w:smallCaps w:val="0"/>
        </w:rPr>
        <w:t>Les protestants dans la France moderne</w:t>
      </w:r>
      <w:r w:rsidRPr="00350F0A">
        <w:rPr>
          <w:smallCaps w:val="0"/>
        </w:rPr>
        <w:t xml:space="preserve">, Paris, Belin, 2006. </w:t>
      </w:r>
    </w:p>
    <w:p w14:paraId="4A316E0B" w14:textId="77777777" w:rsidR="00181056" w:rsidRPr="00350F0A" w:rsidRDefault="00181056" w:rsidP="00350F0A">
      <w:pPr>
        <w:pStyle w:val="Biblio"/>
        <w:rPr>
          <w:smallCaps w:val="0"/>
        </w:rPr>
      </w:pPr>
      <w:r w:rsidRPr="00350F0A">
        <w:rPr>
          <w:szCs w:val="22"/>
        </w:rPr>
        <w:t>Bourquin</w:t>
      </w:r>
      <w:r w:rsidRPr="00350F0A">
        <w:rPr>
          <w:smallCaps w:val="0"/>
        </w:rPr>
        <w:t xml:space="preserve">, Laurent, </w:t>
      </w:r>
      <w:r w:rsidRPr="00350F0A">
        <w:rPr>
          <w:i/>
          <w:smallCaps w:val="0"/>
        </w:rPr>
        <w:t>La noblesse dans la France moderne (XVI</w:t>
      </w:r>
      <w:r w:rsidRPr="000454BE">
        <w:rPr>
          <w:i/>
          <w:smallCaps w:val="0"/>
          <w:vertAlign w:val="superscript"/>
        </w:rPr>
        <w:t>e</w:t>
      </w:r>
      <w:r w:rsidRPr="00350F0A">
        <w:rPr>
          <w:i/>
          <w:smallCaps w:val="0"/>
        </w:rPr>
        <w:t xml:space="preserve"> – XVII</w:t>
      </w:r>
      <w:r w:rsidRPr="000454BE">
        <w:rPr>
          <w:i/>
          <w:smallCaps w:val="0"/>
          <w:vertAlign w:val="superscript"/>
        </w:rPr>
        <w:t>e</w:t>
      </w:r>
      <w:r w:rsidRPr="00350F0A">
        <w:rPr>
          <w:i/>
          <w:smallCaps w:val="0"/>
        </w:rPr>
        <w:t xml:space="preserve"> siècles)</w:t>
      </w:r>
      <w:r w:rsidRPr="00350F0A">
        <w:rPr>
          <w:smallCaps w:val="0"/>
        </w:rPr>
        <w:t xml:space="preserve">, Paris, Belin, 2002. </w:t>
      </w:r>
    </w:p>
    <w:p w14:paraId="655772D6" w14:textId="77777777" w:rsidR="00181056" w:rsidRDefault="00181056" w:rsidP="00350F0A">
      <w:pPr>
        <w:pStyle w:val="Biblio"/>
        <w:rPr>
          <w:smallCaps w:val="0"/>
        </w:rPr>
      </w:pPr>
      <w:r w:rsidRPr="00350F0A">
        <w:rPr>
          <w:szCs w:val="22"/>
        </w:rPr>
        <w:t>Cassan</w:t>
      </w:r>
      <w:r w:rsidRPr="00350F0A">
        <w:rPr>
          <w:smallCaps w:val="0"/>
        </w:rPr>
        <w:t xml:space="preserve">, Michel, </w:t>
      </w:r>
      <w:r w:rsidRPr="00350F0A">
        <w:rPr>
          <w:i/>
          <w:smallCaps w:val="0"/>
        </w:rPr>
        <w:t>La France au XVI</w:t>
      </w:r>
      <w:r w:rsidRPr="000454BE">
        <w:rPr>
          <w:i/>
          <w:smallCaps w:val="0"/>
          <w:vertAlign w:val="superscript"/>
        </w:rPr>
        <w:t>e</w:t>
      </w:r>
      <w:r w:rsidRPr="00350F0A">
        <w:rPr>
          <w:i/>
          <w:smallCaps w:val="0"/>
        </w:rPr>
        <w:t xml:space="preserve"> siècle</w:t>
      </w:r>
      <w:r w:rsidRPr="00350F0A">
        <w:rPr>
          <w:smallCaps w:val="0"/>
        </w:rPr>
        <w:t>, Paris, Armand Colin</w:t>
      </w:r>
      <w:r w:rsidRPr="00476A02">
        <w:rPr>
          <w:smallCaps w:val="0"/>
          <w:color w:val="000000" w:themeColor="text1"/>
        </w:rPr>
        <w:t xml:space="preserve">, 2015. </w:t>
      </w:r>
      <w:hyperlink r:id="rId65" w:history="1">
        <w:r w:rsidR="00476A02" w:rsidRPr="00476A02">
          <w:rPr>
            <w:rStyle w:val="Lienhypertexte"/>
            <w:smallCaps w:val="0"/>
            <w:color w:val="000000" w:themeColor="text1"/>
            <w:u w:val="none"/>
          </w:rPr>
          <w:sym w:font="Wingdings" w:char="F074"/>
        </w:r>
      </w:hyperlink>
    </w:p>
    <w:p w14:paraId="66DD6996" w14:textId="77777777" w:rsidR="00BA70E3" w:rsidRPr="00BA70E3" w:rsidRDefault="00BA70E3" w:rsidP="00350F0A">
      <w:pPr>
        <w:pStyle w:val="Biblio"/>
        <w:rPr>
          <w:smallCaps w:val="0"/>
        </w:rPr>
      </w:pPr>
      <w:proofErr w:type="spellStart"/>
      <w:r w:rsidRPr="00BA70E3">
        <w:t>Drévillon</w:t>
      </w:r>
      <w:proofErr w:type="spellEnd"/>
      <w:r>
        <w:rPr>
          <w:smallCaps w:val="0"/>
        </w:rPr>
        <w:t xml:space="preserve">, Hervé, </w:t>
      </w:r>
      <w:r>
        <w:rPr>
          <w:i/>
          <w:smallCaps w:val="0"/>
        </w:rPr>
        <w:t>L’absolutisme de circonstances</w:t>
      </w:r>
      <w:r>
        <w:rPr>
          <w:smallCaps w:val="0"/>
        </w:rPr>
        <w:t xml:space="preserve"> </w:t>
      </w:r>
      <w:r>
        <w:rPr>
          <w:i/>
          <w:smallCaps w:val="0"/>
        </w:rPr>
        <w:t>(1629-1715)</w:t>
      </w:r>
      <w:r>
        <w:rPr>
          <w:smallCaps w:val="0"/>
        </w:rPr>
        <w:t xml:space="preserve">, Paris, Belin, 2011. </w:t>
      </w:r>
    </w:p>
    <w:p w14:paraId="57288445" w14:textId="77777777" w:rsidR="00181056" w:rsidRPr="00350F0A" w:rsidRDefault="00181056" w:rsidP="00350F0A">
      <w:pPr>
        <w:pStyle w:val="Biblio"/>
        <w:rPr>
          <w:smallCaps w:val="0"/>
        </w:rPr>
      </w:pPr>
      <w:r w:rsidRPr="00350F0A">
        <w:rPr>
          <w:szCs w:val="22"/>
        </w:rPr>
        <w:t>Hamon</w:t>
      </w:r>
      <w:r w:rsidRPr="00350F0A">
        <w:rPr>
          <w:smallCaps w:val="0"/>
        </w:rPr>
        <w:t xml:space="preserve">, Philippe, </w:t>
      </w:r>
      <w:r w:rsidRPr="00350F0A">
        <w:rPr>
          <w:i/>
          <w:smallCaps w:val="0"/>
        </w:rPr>
        <w:t>Les Renaissances (1494-1559)</w:t>
      </w:r>
      <w:r w:rsidRPr="00350F0A">
        <w:rPr>
          <w:smallCaps w:val="0"/>
        </w:rPr>
        <w:t xml:space="preserve">, Paris, Belin, 2010. </w:t>
      </w:r>
    </w:p>
    <w:p w14:paraId="486730AB" w14:textId="77777777" w:rsidR="00181056" w:rsidRPr="00350F0A" w:rsidRDefault="00BA70E3" w:rsidP="00350F0A">
      <w:pPr>
        <w:pStyle w:val="Biblio"/>
        <w:rPr>
          <w:smallCaps w:val="0"/>
        </w:rPr>
      </w:pPr>
      <w:r>
        <w:rPr>
          <w:szCs w:val="22"/>
        </w:rPr>
        <w:t>*</w:t>
      </w:r>
      <w:proofErr w:type="spellStart"/>
      <w:r w:rsidR="00181056" w:rsidRPr="00350F0A">
        <w:rPr>
          <w:szCs w:val="22"/>
        </w:rPr>
        <w:t>Jouanna</w:t>
      </w:r>
      <w:proofErr w:type="spellEnd"/>
      <w:r w:rsidR="00181056" w:rsidRPr="00350F0A">
        <w:rPr>
          <w:smallCaps w:val="0"/>
        </w:rPr>
        <w:t xml:space="preserve">, Arlette, </w:t>
      </w:r>
      <w:r w:rsidR="00181056" w:rsidRPr="00350F0A">
        <w:rPr>
          <w:i/>
          <w:smallCaps w:val="0"/>
        </w:rPr>
        <w:t>Le pouvoir absolu. Naissance de l’imaginaire politique de la royauté</w:t>
      </w:r>
      <w:r w:rsidR="00181056" w:rsidRPr="00350F0A">
        <w:rPr>
          <w:smallCaps w:val="0"/>
        </w:rPr>
        <w:t xml:space="preserve">, Paris, Gallimard, 2013, </w:t>
      </w:r>
      <w:r w:rsidR="00181056" w:rsidRPr="00350F0A">
        <w:rPr>
          <w:smallCaps w:val="0"/>
        </w:rPr>
        <w:br/>
        <w:t xml:space="preserve">  ainsi que </w:t>
      </w:r>
      <w:r w:rsidR="00181056" w:rsidRPr="00350F0A">
        <w:rPr>
          <w:i/>
          <w:smallCaps w:val="0"/>
        </w:rPr>
        <w:t>Le Prince absolu. Apogée et déclin de l’imaginaire monarchique</w:t>
      </w:r>
      <w:r w:rsidR="00181056" w:rsidRPr="00350F0A">
        <w:rPr>
          <w:smallCaps w:val="0"/>
        </w:rPr>
        <w:t>, Paris, Gallimard, 2014.</w:t>
      </w:r>
    </w:p>
    <w:p w14:paraId="39C2F5A6" w14:textId="77777777" w:rsidR="00181056" w:rsidRDefault="00181056" w:rsidP="00350F0A">
      <w:pPr>
        <w:pStyle w:val="Biblio"/>
        <w:rPr>
          <w:smallCaps w:val="0"/>
        </w:rPr>
      </w:pPr>
      <w:r w:rsidRPr="00350F0A">
        <w:rPr>
          <w:szCs w:val="22"/>
        </w:rPr>
        <w:t>Le</w:t>
      </w:r>
      <w:r w:rsidRPr="00350F0A">
        <w:rPr>
          <w:smallCaps w:val="0"/>
          <w:szCs w:val="22"/>
        </w:rPr>
        <w:t xml:space="preserve"> </w:t>
      </w:r>
      <w:r w:rsidRPr="00350F0A">
        <w:rPr>
          <w:szCs w:val="22"/>
        </w:rPr>
        <w:t>Roux</w:t>
      </w:r>
      <w:r w:rsidRPr="00350F0A">
        <w:rPr>
          <w:smallCaps w:val="0"/>
        </w:rPr>
        <w:t xml:space="preserve">, Nicolas, </w:t>
      </w:r>
      <w:r w:rsidRPr="00350F0A">
        <w:rPr>
          <w:i/>
          <w:smallCaps w:val="0"/>
        </w:rPr>
        <w:t>Les guerres de religion (1562-1598)</w:t>
      </w:r>
      <w:r w:rsidRPr="00350F0A">
        <w:rPr>
          <w:smallCaps w:val="0"/>
        </w:rPr>
        <w:t xml:space="preserve">, Paris, Belin, 2014. </w:t>
      </w:r>
    </w:p>
    <w:p w14:paraId="0756BFDE" w14:textId="77777777" w:rsidR="00476A02" w:rsidRPr="00476A02" w:rsidRDefault="00476A02" w:rsidP="00350F0A">
      <w:pPr>
        <w:pStyle w:val="Biblio"/>
        <w:rPr>
          <w:smallCaps w:val="0"/>
        </w:rPr>
      </w:pPr>
      <w:proofErr w:type="spellStart"/>
      <w:r w:rsidRPr="00476A02">
        <w:t>Milliot</w:t>
      </w:r>
      <w:proofErr w:type="spellEnd"/>
      <w:r>
        <w:rPr>
          <w:smallCaps w:val="0"/>
        </w:rPr>
        <w:t xml:space="preserve">, Vincent, </w:t>
      </w:r>
      <w:r w:rsidRPr="00476A02">
        <w:t>Minard</w:t>
      </w:r>
      <w:r>
        <w:rPr>
          <w:smallCaps w:val="0"/>
        </w:rPr>
        <w:t xml:space="preserve">, Philippe, </w:t>
      </w:r>
      <w:r>
        <w:rPr>
          <w:i/>
          <w:smallCaps w:val="0"/>
        </w:rPr>
        <w:t>La France d’Ancien régime. Pouvoirs et sociétés</w:t>
      </w:r>
      <w:r>
        <w:rPr>
          <w:smallCaps w:val="0"/>
        </w:rPr>
        <w:t xml:space="preserve">, Paris, Armand Colin, 2018. </w:t>
      </w:r>
    </w:p>
    <w:p w14:paraId="260B63F8" w14:textId="77777777" w:rsidR="00DA376F" w:rsidRPr="00DA376F" w:rsidRDefault="00DA376F" w:rsidP="00350F0A">
      <w:pPr>
        <w:pStyle w:val="Biblio"/>
        <w:rPr>
          <w:smallCaps w:val="0"/>
        </w:rPr>
      </w:pPr>
      <w:r w:rsidRPr="00DA376F">
        <w:t>***</w:t>
      </w:r>
      <w:proofErr w:type="spellStart"/>
      <w:r w:rsidRPr="00DA376F">
        <w:t>Saupin</w:t>
      </w:r>
      <w:proofErr w:type="spellEnd"/>
      <w:r w:rsidRPr="00DA376F">
        <w:t xml:space="preserve">, </w:t>
      </w:r>
      <w:r w:rsidRPr="00DA376F">
        <w:rPr>
          <w:smallCaps w:val="0"/>
        </w:rPr>
        <w:t xml:space="preserve">Guy, </w:t>
      </w:r>
      <w:r w:rsidRPr="00DA376F">
        <w:rPr>
          <w:i/>
          <w:smallCaps w:val="0"/>
        </w:rPr>
        <w:t xml:space="preserve">La France à l’époque moderne, </w:t>
      </w:r>
      <w:r w:rsidRPr="00DA376F">
        <w:rPr>
          <w:smallCaps w:val="0"/>
        </w:rPr>
        <w:t>Paris, Armand Colin</w:t>
      </w:r>
      <w:r w:rsidRPr="00DA376F">
        <w:rPr>
          <w:smallCaps w:val="0"/>
          <w:color w:val="000000" w:themeColor="text1"/>
        </w:rPr>
        <w:t xml:space="preserve">, </w:t>
      </w:r>
      <w:r w:rsidRPr="00DA376F">
        <w:rPr>
          <w:rFonts w:cs="Times New Roman"/>
          <w:smallCaps w:val="0"/>
          <w:color w:val="000000" w:themeColor="text1"/>
        </w:rPr>
        <w:t xml:space="preserve">[2020]. </w:t>
      </w:r>
      <w:hyperlink r:id="rId66" w:history="1">
        <w:r w:rsidRPr="00DA376F">
          <w:rPr>
            <w:rStyle w:val="Lienhypertexte"/>
            <w:smallCaps w:val="0"/>
            <w:color w:val="000000" w:themeColor="text1"/>
            <w:u w:val="none"/>
          </w:rPr>
          <w:sym w:font="Wingdings" w:char="F074"/>
        </w:r>
      </w:hyperlink>
    </w:p>
    <w:p w14:paraId="1E06DD0A" w14:textId="77777777" w:rsidR="007E0B8A" w:rsidRDefault="007E0B8A" w:rsidP="007E0B8A">
      <w:pPr>
        <w:pStyle w:val="Titre1"/>
      </w:pPr>
    </w:p>
    <w:p w14:paraId="085A881A" w14:textId="77777777" w:rsidR="007E0B8A" w:rsidRDefault="007E0B8A" w:rsidP="007E0B8A">
      <w:pPr>
        <w:pStyle w:val="Titre1"/>
      </w:pPr>
    </w:p>
    <w:p w14:paraId="1423FB28" w14:textId="77777777" w:rsidR="007E0B8A" w:rsidRPr="001876DF" w:rsidRDefault="007E0B8A" w:rsidP="00620E44"/>
    <w:sectPr w:rsidR="007E0B8A" w:rsidRPr="001876DF" w:rsidSect="00F77E98">
      <w:type w:val="oddPage"/>
      <w:pgSz w:w="11906" w:h="16838"/>
      <w:pgMar w:top="964" w:right="1304" w:bottom="1134" w:left="130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80078F" w14:textId="77777777" w:rsidR="009976FD" w:rsidRDefault="009976FD" w:rsidP="00620E44">
      <w:r>
        <w:separator/>
      </w:r>
    </w:p>
  </w:endnote>
  <w:endnote w:type="continuationSeparator" w:id="0">
    <w:p w14:paraId="5E1C009C" w14:textId="77777777" w:rsidR="009976FD" w:rsidRDefault="009976FD" w:rsidP="00620E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Times New Roman (Corps CS)">
    <w:altName w:val="Times New Roman"/>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120735225"/>
      <w:docPartObj>
        <w:docPartGallery w:val="Page Numbers (Bottom of Page)"/>
        <w:docPartUnique/>
      </w:docPartObj>
    </w:sdtPr>
    <w:sdtContent>
      <w:p w14:paraId="0E4F980D" w14:textId="77777777" w:rsidR="00A77E43" w:rsidRDefault="00A77E43" w:rsidP="009F002F">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1E88E59E" w14:textId="77777777" w:rsidR="00A77E43" w:rsidRDefault="00A77E43" w:rsidP="00A77E43">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Fonts w:ascii="Times New Roman" w:hAnsi="Times New Roman" w:cs="Times New Roman"/>
        <w:sz w:val="20"/>
        <w:szCs w:val="20"/>
      </w:rPr>
      <w:id w:val="449208620"/>
      <w:docPartObj>
        <w:docPartGallery w:val="Page Numbers (Bottom of Page)"/>
        <w:docPartUnique/>
      </w:docPartObj>
    </w:sdtPr>
    <w:sdtContent>
      <w:p w14:paraId="479E9D18" w14:textId="77777777" w:rsidR="00A77E43" w:rsidRPr="00A77E43" w:rsidRDefault="00A77E43" w:rsidP="009F002F">
        <w:pPr>
          <w:pStyle w:val="Pieddepage"/>
          <w:framePr w:wrap="none" w:vAnchor="text" w:hAnchor="margin" w:xAlign="right" w:y="1"/>
          <w:rPr>
            <w:rStyle w:val="Numrodepage"/>
            <w:rFonts w:ascii="Times New Roman" w:hAnsi="Times New Roman" w:cs="Times New Roman"/>
            <w:sz w:val="20"/>
            <w:szCs w:val="20"/>
          </w:rPr>
        </w:pPr>
        <w:r w:rsidRPr="00A77E43">
          <w:rPr>
            <w:rStyle w:val="Numrodepage"/>
            <w:rFonts w:ascii="Times New Roman" w:hAnsi="Times New Roman" w:cs="Times New Roman"/>
            <w:sz w:val="20"/>
            <w:szCs w:val="20"/>
          </w:rPr>
          <w:fldChar w:fldCharType="begin"/>
        </w:r>
        <w:r w:rsidRPr="00A77E43">
          <w:rPr>
            <w:rStyle w:val="Numrodepage"/>
            <w:rFonts w:ascii="Times New Roman" w:hAnsi="Times New Roman" w:cs="Times New Roman"/>
            <w:sz w:val="20"/>
            <w:szCs w:val="20"/>
          </w:rPr>
          <w:instrText xml:space="preserve"> PAGE </w:instrText>
        </w:r>
        <w:r w:rsidRPr="00A77E43">
          <w:rPr>
            <w:rStyle w:val="Numrodepage"/>
            <w:rFonts w:ascii="Times New Roman" w:hAnsi="Times New Roman" w:cs="Times New Roman"/>
            <w:sz w:val="20"/>
            <w:szCs w:val="20"/>
          </w:rPr>
          <w:fldChar w:fldCharType="separate"/>
        </w:r>
        <w:r w:rsidRPr="00A77E43">
          <w:rPr>
            <w:rStyle w:val="Numrodepage"/>
            <w:rFonts w:ascii="Times New Roman" w:hAnsi="Times New Roman" w:cs="Times New Roman"/>
            <w:noProof/>
            <w:sz w:val="20"/>
            <w:szCs w:val="20"/>
          </w:rPr>
          <w:t>3</w:t>
        </w:r>
        <w:r w:rsidRPr="00A77E43">
          <w:rPr>
            <w:rStyle w:val="Numrodepage"/>
            <w:rFonts w:ascii="Times New Roman" w:hAnsi="Times New Roman" w:cs="Times New Roman"/>
            <w:sz w:val="20"/>
            <w:szCs w:val="20"/>
          </w:rPr>
          <w:fldChar w:fldCharType="end"/>
        </w:r>
      </w:p>
    </w:sdtContent>
  </w:sdt>
  <w:p w14:paraId="2AFD6EAC" w14:textId="77777777" w:rsidR="00A77E43" w:rsidRPr="00A77E43" w:rsidRDefault="00A77E43" w:rsidP="00A77E43">
    <w:pPr>
      <w:pStyle w:val="Pieddepage"/>
      <w:ind w:right="360"/>
      <w:jc w:val="center"/>
      <w:rPr>
        <w:rFonts w:ascii="Times New Roman" w:hAnsi="Times New Roman" w:cs="Times New Roman"/>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D21C41" w14:textId="77777777" w:rsidR="009976FD" w:rsidRDefault="009976FD" w:rsidP="00620E44">
      <w:r>
        <w:separator/>
      </w:r>
    </w:p>
  </w:footnote>
  <w:footnote w:type="continuationSeparator" w:id="0">
    <w:p w14:paraId="2550229C" w14:textId="77777777" w:rsidR="009976FD" w:rsidRDefault="009976FD" w:rsidP="00620E44">
      <w:r>
        <w:continuationSeparator/>
      </w:r>
    </w:p>
  </w:footnote>
  <w:footnote w:id="1">
    <w:p w14:paraId="093F7A85" w14:textId="77777777" w:rsidR="000E16A3" w:rsidRPr="00540000" w:rsidRDefault="000E16A3" w:rsidP="005A69CD">
      <w:pPr>
        <w:pStyle w:val="Sansinterligne"/>
        <w:rPr>
          <w:rFonts w:ascii="Times New Roman" w:hAnsi="Times New Roman" w:cs="Times New Roman"/>
          <w:sz w:val="18"/>
          <w:szCs w:val="18"/>
        </w:rPr>
      </w:pPr>
      <w:r w:rsidRPr="00540000">
        <w:rPr>
          <w:rStyle w:val="Appelnotedebasdep"/>
          <w:rFonts w:ascii="Times New Roman" w:hAnsi="Times New Roman" w:cs="Times New Roman"/>
          <w:sz w:val="18"/>
          <w:szCs w:val="18"/>
        </w:rPr>
        <w:footnoteRef/>
      </w:r>
      <w:r w:rsidRPr="00540000">
        <w:rPr>
          <w:rFonts w:ascii="Times New Roman" w:hAnsi="Times New Roman" w:cs="Times New Roman"/>
          <w:sz w:val="18"/>
          <w:szCs w:val="18"/>
        </w:rPr>
        <w:t xml:space="preserve"> Pour lors, à présent. </w:t>
      </w:r>
    </w:p>
  </w:footnote>
  <w:footnote w:id="2">
    <w:p w14:paraId="634C03FA" w14:textId="77777777" w:rsidR="000E16A3" w:rsidRPr="00540000" w:rsidRDefault="000E16A3" w:rsidP="005A69CD">
      <w:pPr>
        <w:pStyle w:val="Sansinterligne"/>
        <w:rPr>
          <w:rFonts w:ascii="Times New Roman" w:hAnsi="Times New Roman" w:cs="Times New Roman"/>
          <w:sz w:val="18"/>
          <w:szCs w:val="18"/>
        </w:rPr>
      </w:pPr>
      <w:r w:rsidRPr="00540000">
        <w:rPr>
          <w:rStyle w:val="Appelnotedebasdep"/>
          <w:rFonts w:ascii="Times New Roman" w:hAnsi="Times New Roman" w:cs="Times New Roman"/>
          <w:sz w:val="18"/>
          <w:szCs w:val="18"/>
        </w:rPr>
        <w:footnoteRef/>
      </w:r>
      <w:r w:rsidRPr="00540000">
        <w:rPr>
          <w:rFonts w:ascii="Times New Roman" w:hAnsi="Times New Roman" w:cs="Times New Roman"/>
          <w:sz w:val="18"/>
          <w:szCs w:val="18"/>
        </w:rPr>
        <w:t xml:space="preserve"> Pour son usage. </w:t>
      </w:r>
    </w:p>
  </w:footnote>
  <w:footnote w:id="3">
    <w:p w14:paraId="7641687B" w14:textId="77777777" w:rsidR="000E16A3" w:rsidRPr="00540000" w:rsidRDefault="000E16A3" w:rsidP="0083365A">
      <w:pPr>
        <w:pStyle w:val="Sansinterligne"/>
        <w:rPr>
          <w:sz w:val="18"/>
        </w:rPr>
      </w:pPr>
      <w:r w:rsidRPr="00540000">
        <w:rPr>
          <w:rStyle w:val="Appelnotedebasdep"/>
          <w:rFonts w:ascii="Times New Roman" w:hAnsi="Times New Roman" w:cs="Times New Roman"/>
          <w:sz w:val="18"/>
        </w:rPr>
        <w:footnoteRef/>
      </w:r>
      <w:r w:rsidRPr="00540000">
        <w:rPr>
          <w:rFonts w:ascii="Times New Roman" w:hAnsi="Times New Roman" w:cs="Times New Roman"/>
          <w:sz w:val="18"/>
        </w:rPr>
        <w:t xml:space="preserve"> Le bot est un crapaud, animal censé incarner le Diable. L’expression </w:t>
      </w:r>
      <w:r w:rsidRPr="00540000">
        <w:rPr>
          <w:rFonts w:ascii="Times New Roman" w:hAnsi="Times New Roman" w:cs="Times New Roman"/>
          <w:i/>
          <w:sz w:val="18"/>
        </w:rPr>
        <w:t xml:space="preserve">à correction </w:t>
      </w:r>
      <w:r w:rsidRPr="00540000">
        <w:rPr>
          <w:rFonts w:ascii="Times New Roman" w:hAnsi="Times New Roman" w:cs="Times New Roman"/>
          <w:sz w:val="18"/>
        </w:rPr>
        <w:t xml:space="preserve">excuse le scribe qui transcrit une injure. </w:t>
      </w:r>
    </w:p>
  </w:footnote>
  <w:footnote w:id="4">
    <w:p w14:paraId="46522EA5" w14:textId="77777777" w:rsidR="000E16A3" w:rsidRPr="00343003" w:rsidRDefault="000E16A3" w:rsidP="007E0B8A">
      <w:pPr>
        <w:pStyle w:val="Sansinterligne"/>
      </w:pPr>
      <w:r w:rsidRPr="00343003">
        <w:rPr>
          <w:rStyle w:val="Appelnotedebasdep"/>
        </w:rPr>
        <w:footnoteRef/>
      </w:r>
      <w:r w:rsidRPr="00343003">
        <w:t xml:space="preserve"> On emploie « Id. » ou « Idem » si l’auteur du chapitre est le même que l’auteur de l’ouvrage. </w:t>
      </w:r>
    </w:p>
  </w:footnote>
  <w:footnote w:id="5">
    <w:p w14:paraId="59D44270" w14:textId="77777777" w:rsidR="000E16A3" w:rsidRDefault="000E16A3" w:rsidP="00CA253F">
      <w:pPr>
        <w:pStyle w:val="Sansinterligne"/>
      </w:pPr>
      <w:r>
        <w:rPr>
          <w:rStyle w:val="Appelnotedebasdep"/>
        </w:rPr>
        <w:footnoteRef/>
      </w:r>
      <w:r>
        <w:t xml:space="preserve"> Paul </w:t>
      </w:r>
      <w:r w:rsidRPr="00C52E0D">
        <w:rPr>
          <w:smallCaps/>
        </w:rPr>
        <w:t>Veyne</w:t>
      </w:r>
      <w:r>
        <w:t xml:space="preserve">, « Foucault révolutionne l’histoire », dans </w:t>
      </w:r>
      <w:r w:rsidRPr="00C52E0D">
        <w:rPr>
          <w:i/>
        </w:rPr>
        <w:t>Comment on écrit l'histoire</w:t>
      </w:r>
      <w:r>
        <w:t xml:space="preserve"> (Paris: Seuil, 1978), p. 211.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144CD2"/>
    <w:multiLevelType w:val="hybridMultilevel"/>
    <w:tmpl w:val="A560E6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89A140E"/>
    <w:multiLevelType w:val="hybridMultilevel"/>
    <w:tmpl w:val="F3C20230"/>
    <w:lvl w:ilvl="0" w:tplc="18189698">
      <w:numFmt w:val="bullet"/>
      <w:lvlText w:val="-"/>
      <w:lvlJc w:val="left"/>
      <w:pPr>
        <w:ind w:left="720" w:hanging="360"/>
      </w:pPr>
      <w:rPr>
        <w:rFonts w:ascii="Garamond" w:eastAsiaTheme="minorEastAsia" w:hAnsi="Garamond"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F76280C"/>
    <w:multiLevelType w:val="hybridMultilevel"/>
    <w:tmpl w:val="35EE63FA"/>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76F7677"/>
    <w:multiLevelType w:val="hybridMultilevel"/>
    <w:tmpl w:val="E29CF600"/>
    <w:lvl w:ilvl="0" w:tplc="4C6AD2E2">
      <w:numFmt w:val="bullet"/>
      <w:lvlText w:val="-"/>
      <w:lvlJc w:val="left"/>
      <w:pPr>
        <w:ind w:left="720" w:hanging="360"/>
      </w:pPr>
      <w:rPr>
        <w:rFonts w:ascii="Garamond" w:eastAsiaTheme="minorEastAsia" w:hAnsi="Garamond"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B876E87"/>
    <w:multiLevelType w:val="hybridMultilevel"/>
    <w:tmpl w:val="E1E6D018"/>
    <w:lvl w:ilvl="0" w:tplc="5BA689C2">
      <w:start w:val="1"/>
      <w:numFmt w:val="bullet"/>
      <w:lvlText w:val="–"/>
      <w:lvlJc w:val="left"/>
      <w:pPr>
        <w:ind w:left="720" w:hanging="360"/>
      </w:pPr>
      <w:rPr>
        <w:rFonts w:ascii="Garamond" w:hAnsi="Garamond"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4BC7F16"/>
    <w:multiLevelType w:val="hybridMultilevel"/>
    <w:tmpl w:val="580ADE0A"/>
    <w:lvl w:ilvl="0" w:tplc="C77C891C">
      <w:numFmt w:val="bullet"/>
      <w:lvlText w:val="-"/>
      <w:lvlJc w:val="left"/>
      <w:pPr>
        <w:ind w:left="720" w:hanging="360"/>
      </w:pPr>
      <w:rPr>
        <w:rFonts w:ascii="Garamond" w:eastAsiaTheme="minorEastAsia" w:hAnsi="Garamond"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56400BCD"/>
    <w:multiLevelType w:val="hybridMultilevel"/>
    <w:tmpl w:val="FFA034C8"/>
    <w:lvl w:ilvl="0" w:tplc="661A7230">
      <w:numFmt w:val="bullet"/>
      <w:lvlText w:val="-"/>
      <w:lvlJc w:val="left"/>
      <w:pPr>
        <w:ind w:left="720" w:hanging="360"/>
      </w:pPr>
      <w:rPr>
        <w:rFonts w:ascii="Garamond" w:eastAsiaTheme="minorEastAsia" w:hAnsi="Garamond"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D1525E0"/>
    <w:multiLevelType w:val="hybridMultilevel"/>
    <w:tmpl w:val="291C78D4"/>
    <w:lvl w:ilvl="0" w:tplc="604CC1D2">
      <w:numFmt w:val="bullet"/>
      <w:lvlText w:val="-"/>
      <w:lvlJc w:val="left"/>
      <w:pPr>
        <w:ind w:left="720" w:hanging="360"/>
      </w:pPr>
      <w:rPr>
        <w:rFonts w:ascii="Garamond" w:eastAsiaTheme="minorEastAsia" w:hAnsi="Garamond"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784843A9"/>
    <w:multiLevelType w:val="hybridMultilevel"/>
    <w:tmpl w:val="2C728C7A"/>
    <w:lvl w:ilvl="0" w:tplc="D0784270">
      <w:numFmt w:val="bullet"/>
      <w:lvlText w:val="-"/>
      <w:lvlJc w:val="left"/>
      <w:pPr>
        <w:ind w:left="720" w:hanging="360"/>
      </w:pPr>
      <w:rPr>
        <w:rFonts w:ascii="Garamond" w:eastAsiaTheme="minorEastAsia" w:hAnsi="Garamond"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909653939">
    <w:abstractNumId w:val="4"/>
  </w:num>
  <w:num w:numId="2" w16cid:durableId="1046180611">
    <w:abstractNumId w:val="7"/>
  </w:num>
  <w:num w:numId="3" w16cid:durableId="1809932902">
    <w:abstractNumId w:val="8"/>
  </w:num>
  <w:num w:numId="4" w16cid:durableId="212470883">
    <w:abstractNumId w:val="5"/>
  </w:num>
  <w:num w:numId="5" w16cid:durableId="724644318">
    <w:abstractNumId w:val="6"/>
  </w:num>
  <w:num w:numId="6" w16cid:durableId="1315522081">
    <w:abstractNumId w:val="1"/>
  </w:num>
  <w:num w:numId="7" w16cid:durableId="2024092084">
    <w:abstractNumId w:val="3"/>
  </w:num>
  <w:num w:numId="8" w16cid:durableId="407504272">
    <w:abstractNumId w:val="2"/>
  </w:num>
  <w:num w:numId="9" w16cid:durableId="6928004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76DF"/>
    <w:rsid w:val="0000002D"/>
    <w:rsid w:val="00002181"/>
    <w:rsid w:val="00020974"/>
    <w:rsid w:val="00023CD7"/>
    <w:rsid w:val="00025A61"/>
    <w:rsid w:val="00043309"/>
    <w:rsid w:val="000454BE"/>
    <w:rsid w:val="00050F81"/>
    <w:rsid w:val="000527AA"/>
    <w:rsid w:val="00067847"/>
    <w:rsid w:val="0007277A"/>
    <w:rsid w:val="00077B0B"/>
    <w:rsid w:val="00083487"/>
    <w:rsid w:val="0008501A"/>
    <w:rsid w:val="000914AE"/>
    <w:rsid w:val="0009550F"/>
    <w:rsid w:val="000B2AC5"/>
    <w:rsid w:val="000B586A"/>
    <w:rsid w:val="000B7230"/>
    <w:rsid w:val="000E16A3"/>
    <w:rsid w:val="001000C1"/>
    <w:rsid w:val="001039E9"/>
    <w:rsid w:val="00106EBA"/>
    <w:rsid w:val="00110DBF"/>
    <w:rsid w:val="00112829"/>
    <w:rsid w:val="001245CF"/>
    <w:rsid w:val="00127C5C"/>
    <w:rsid w:val="00145CB1"/>
    <w:rsid w:val="00152D0F"/>
    <w:rsid w:val="00154432"/>
    <w:rsid w:val="00161D5C"/>
    <w:rsid w:val="001713E7"/>
    <w:rsid w:val="00181056"/>
    <w:rsid w:val="00183770"/>
    <w:rsid w:val="001876DF"/>
    <w:rsid w:val="001912CB"/>
    <w:rsid w:val="00196846"/>
    <w:rsid w:val="001A6213"/>
    <w:rsid w:val="001A6786"/>
    <w:rsid w:val="001A76F2"/>
    <w:rsid w:val="001B78F5"/>
    <w:rsid w:val="001D3C4E"/>
    <w:rsid w:val="001D60D4"/>
    <w:rsid w:val="001D7D90"/>
    <w:rsid w:val="001E3829"/>
    <w:rsid w:val="001F4A52"/>
    <w:rsid w:val="001F6E7C"/>
    <w:rsid w:val="00206FBB"/>
    <w:rsid w:val="00212D9F"/>
    <w:rsid w:val="002151F8"/>
    <w:rsid w:val="00215664"/>
    <w:rsid w:val="002312CE"/>
    <w:rsid w:val="0025054B"/>
    <w:rsid w:val="00257BA7"/>
    <w:rsid w:val="00260B3F"/>
    <w:rsid w:val="00261E8D"/>
    <w:rsid w:val="00266E23"/>
    <w:rsid w:val="00280EF5"/>
    <w:rsid w:val="002840E9"/>
    <w:rsid w:val="002A62B1"/>
    <w:rsid w:val="002B4906"/>
    <w:rsid w:val="002B6CAA"/>
    <w:rsid w:val="002C18CD"/>
    <w:rsid w:val="002D43DB"/>
    <w:rsid w:val="002E661B"/>
    <w:rsid w:val="002E76FE"/>
    <w:rsid w:val="002F6EE2"/>
    <w:rsid w:val="003134E7"/>
    <w:rsid w:val="00317D8B"/>
    <w:rsid w:val="00331010"/>
    <w:rsid w:val="00335F5E"/>
    <w:rsid w:val="0033694D"/>
    <w:rsid w:val="003509BB"/>
    <w:rsid w:val="00350F0A"/>
    <w:rsid w:val="00360A60"/>
    <w:rsid w:val="00361D8E"/>
    <w:rsid w:val="003721B8"/>
    <w:rsid w:val="00374621"/>
    <w:rsid w:val="00392079"/>
    <w:rsid w:val="003A7DB5"/>
    <w:rsid w:val="003B2122"/>
    <w:rsid w:val="003B4664"/>
    <w:rsid w:val="003B6D37"/>
    <w:rsid w:val="003C37DD"/>
    <w:rsid w:val="003C3B02"/>
    <w:rsid w:val="003D5A2C"/>
    <w:rsid w:val="003E06DB"/>
    <w:rsid w:val="003E4D84"/>
    <w:rsid w:val="003F6C23"/>
    <w:rsid w:val="0041082C"/>
    <w:rsid w:val="004168F9"/>
    <w:rsid w:val="00423E18"/>
    <w:rsid w:val="0043459C"/>
    <w:rsid w:val="00441A35"/>
    <w:rsid w:val="00444FE6"/>
    <w:rsid w:val="004458B5"/>
    <w:rsid w:val="00455CF9"/>
    <w:rsid w:val="0046285D"/>
    <w:rsid w:val="0046641F"/>
    <w:rsid w:val="00472F96"/>
    <w:rsid w:val="004758FB"/>
    <w:rsid w:val="00476A02"/>
    <w:rsid w:val="00494176"/>
    <w:rsid w:val="004954AF"/>
    <w:rsid w:val="004A1175"/>
    <w:rsid w:val="004A41D2"/>
    <w:rsid w:val="004B2CE4"/>
    <w:rsid w:val="004B46AF"/>
    <w:rsid w:val="004B751F"/>
    <w:rsid w:val="004B7673"/>
    <w:rsid w:val="004C026B"/>
    <w:rsid w:val="004C2FD5"/>
    <w:rsid w:val="004C7502"/>
    <w:rsid w:val="004C75F4"/>
    <w:rsid w:val="004D3198"/>
    <w:rsid w:val="004D344B"/>
    <w:rsid w:val="004D4C35"/>
    <w:rsid w:val="004D6E6B"/>
    <w:rsid w:val="004E2452"/>
    <w:rsid w:val="00501756"/>
    <w:rsid w:val="005058D9"/>
    <w:rsid w:val="00510946"/>
    <w:rsid w:val="00511A69"/>
    <w:rsid w:val="0051400C"/>
    <w:rsid w:val="00517DC2"/>
    <w:rsid w:val="005202A6"/>
    <w:rsid w:val="005242B7"/>
    <w:rsid w:val="00525768"/>
    <w:rsid w:val="005267EB"/>
    <w:rsid w:val="00531ABD"/>
    <w:rsid w:val="0053785A"/>
    <w:rsid w:val="00540000"/>
    <w:rsid w:val="00542061"/>
    <w:rsid w:val="00551061"/>
    <w:rsid w:val="0055392F"/>
    <w:rsid w:val="005636FD"/>
    <w:rsid w:val="00572168"/>
    <w:rsid w:val="0059125D"/>
    <w:rsid w:val="005A24D6"/>
    <w:rsid w:val="005A68D7"/>
    <w:rsid w:val="005A69CD"/>
    <w:rsid w:val="005A6A8F"/>
    <w:rsid w:val="005B1CA8"/>
    <w:rsid w:val="005B275B"/>
    <w:rsid w:val="005C7F42"/>
    <w:rsid w:val="005D5DB5"/>
    <w:rsid w:val="005E476E"/>
    <w:rsid w:val="005F5D0B"/>
    <w:rsid w:val="005F68AA"/>
    <w:rsid w:val="00601A46"/>
    <w:rsid w:val="00602DF5"/>
    <w:rsid w:val="00604579"/>
    <w:rsid w:val="006051CC"/>
    <w:rsid w:val="006132C2"/>
    <w:rsid w:val="00614313"/>
    <w:rsid w:val="00617E25"/>
    <w:rsid w:val="00617F5B"/>
    <w:rsid w:val="00620184"/>
    <w:rsid w:val="00620E44"/>
    <w:rsid w:val="00633EB3"/>
    <w:rsid w:val="0064443C"/>
    <w:rsid w:val="00647699"/>
    <w:rsid w:val="006577E0"/>
    <w:rsid w:val="0069039E"/>
    <w:rsid w:val="00694642"/>
    <w:rsid w:val="00694D24"/>
    <w:rsid w:val="00697BD8"/>
    <w:rsid w:val="006A3645"/>
    <w:rsid w:val="006B0FEE"/>
    <w:rsid w:val="006C2BC1"/>
    <w:rsid w:val="006D2DFB"/>
    <w:rsid w:val="006D44A2"/>
    <w:rsid w:val="006F2E57"/>
    <w:rsid w:val="006F6490"/>
    <w:rsid w:val="00707BA1"/>
    <w:rsid w:val="007126A7"/>
    <w:rsid w:val="0071413E"/>
    <w:rsid w:val="00714C25"/>
    <w:rsid w:val="00716AAA"/>
    <w:rsid w:val="00723C29"/>
    <w:rsid w:val="00732222"/>
    <w:rsid w:val="00735570"/>
    <w:rsid w:val="00740366"/>
    <w:rsid w:val="0075030A"/>
    <w:rsid w:val="00753471"/>
    <w:rsid w:val="00762BF3"/>
    <w:rsid w:val="00763381"/>
    <w:rsid w:val="00773997"/>
    <w:rsid w:val="00773B54"/>
    <w:rsid w:val="00776C8F"/>
    <w:rsid w:val="00783354"/>
    <w:rsid w:val="00797B07"/>
    <w:rsid w:val="007A0419"/>
    <w:rsid w:val="007A0B39"/>
    <w:rsid w:val="007A1C0B"/>
    <w:rsid w:val="007A4D81"/>
    <w:rsid w:val="007C0158"/>
    <w:rsid w:val="007D17A2"/>
    <w:rsid w:val="007D38CC"/>
    <w:rsid w:val="007D62EF"/>
    <w:rsid w:val="007D76D4"/>
    <w:rsid w:val="007E0B8A"/>
    <w:rsid w:val="007E0FB7"/>
    <w:rsid w:val="007E4C1F"/>
    <w:rsid w:val="007F1DDA"/>
    <w:rsid w:val="007F2D88"/>
    <w:rsid w:val="007F7FF8"/>
    <w:rsid w:val="008106BC"/>
    <w:rsid w:val="00820F2A"/>
    <w:rsid w:val="00820FA0"/>
    <w:rsid w:val="0082363C"/>
    <w:rsid w:val="00824BF4"/>
    <w:rsid w:val="0083365A"/>
    <w:rsid w:val="008371BD"/>
    <w:rsid w:val="008505ED"/>
    <w:rsid w:val="0085339B"/>
    <w:rsid w:val="008649BD"/>
    <w:rsid w:val="00874F11"/>
    <w:rsid w:val="008812B6"/>
    <w:rsid w:val="0088395F"/>
    <w:rsid w:val="008A4715"/>
    <w:rsid w:val="008A693A"/>
    <w:rsid w:val="008B1C2C"/>
    <w:rsid w:val="008B2407"/>
    <w:rsid w:val="008B4B0F"/>
    <w:rsid w:val="008F15D4"/>
    <w:rsid w:val="008F6E8F"/>
    <w:rsid w:val="00900DFE"/>
    <w:rsid w:val="00904144"/>
    <w:rsid w:val="00904E56"/>
    <w:rsid w:val="00977A5A"/>
    <w:rsid w:val="00980797"/>
    <w:rsid w:val="00995CFB"/>
    <w:rsid w:val="009976FD"/>
    <w:rsid w:val="009978D1"/>
    <w:rsid w:val="009A7AAA"/>
    <w:rsid w:val="009B3FAA"/>
    <w:rsid w:val="009C1A6B"/>
    <w:rsid w:val="009C5CE4"/>
    <w:rsid w:val="009D6DD9"/>
    <w:rsid w:val="009E6F38"/>
    <w:rsid w:val="009F0287"/>
    <w:rsid w:val="009F110D"/>
    <w:rsid w:val="00A01ED7"/>
    <w:rsid w:val="00A125BD"/>
    <w:rsid w:val="00A26541"/>
    <w:rsid w:val="00A312A5"/>
    <w:rsid w:val="00A45B42"/>
    <w:rsid w:val="00A50D23"/>
    <w:rsid w:val="00A61C1A"/>
    <w:rsid w:val="00A70C85"/>
    <w:rsid w:val="00A71ACD"/>
    <w:rsid w:val="00A7331D"/>
    <w:rsid w:val="00A73F0C"/>
    <w:rsid w:val="00A75549"/>
    <w:rsid w:val="00A77E43"/>
    <w:rsid w:val="00A852BF"/>
    <w:rsid w:val="00A91CFD"/>
    <w:rsid w:val="00A97EE8"/>
    <w:rsid w:val="00AC53EF"/>
    <w:rsid w:val="00AD6704"/>
    <w:rsid w:val="00AE3B6C"/>
    <w:rsid w:val="00AE4A56"/>
    <w:rsid w:val="00AE6D71"/>
    <w:rsid w:val="00AF4E60"/>
    <w:rsid w:val="00AF52C0"/>
    <w:rsid w:val="00AF6E97"/>
    <w:rsid w:val="00B2062E"/>
    <w:rsid w:val="00B215DC"/>
    <w:rsid w:val="00B23032"/>
    <w:rsid w:val="00B35EC0"/>
    <w:rsid w:val="00B40C80"/>
    <w:rsid w:val="00B410D3"/>
    <w:rsid w:val="00B43334"/>
    <w:rsid w:val="00B55575"/>
    <w:rsid w:val="00B64E34"/>
    <w:rsid w:val="00B80AFA"/>
    <w:rsid w:val="00BA70E3"/>
    <w:rsid w:val="00BB07AD"/>
    <w:rsid w:val="00BC5731"/>
    <w:rsid w:val="00BE0D7D"/>
    <w:rsid w:val="00C03CA1"/>
    <w:rsid w:val="00C04477"/>
    <w:rsid w:val="00C14B65"/>
    <w:rsid w:val="00C151F5"/>
    <w:rsid w:val="00C20185"/>
    <w:rsid w:val="00C24150"/>
    <w:rsid w:val="00C35EB8"/>
    <w:rsid w:val="00C40665"/>
    <w:rsid w:val="00C40E05"/>
    <w:rsid w:val="00C427E8"/>
    <w:rsid w:val="00C5441C"/>
    <w:rsid w:val="00C617B7"/>
    <w:rsid w:val="00C621ED"/>
    <w:rsid w:val="00C6480B"/>
    <w:rsid w:val="00C651D6"/>
    <w:rsid w:val="00C718E2"/>
    <w:rsid w:val="00C74236"/>
    <w:rsid w:val="00C80D6C"/>
    <w:rsid w:val="00C85FC2"/>
    <w:rsid w:val="00CA253F"/>
    <w:rsid w:val="00CA6E07"/>
    <w:rsid w:val="00CB32FC"/>
    <w:rsid w:val="00CC1BD1"/>
    <w:rsid w:val="00CC4ADE"/>
    <w:rsid w:val="00CC68C6"/>
    <w:rsid w:val="00CD6BF1"/>
    <w:rsid w:val="00CE16B7"/>
    <w:rsid w:val="00CE36C4"/>
    <w:rsid w:val="00CE6C95"/>
    <w:rsid w:val="00CF013D"/>
    <w:rsid w:val="00CF2D37"/>
    <w:rsid w:val="00CF586A"/>
    <w:rsid w:val="00D029C5"/>
    <w:rsid w:val="00D04362"/>
    <w:rsid w:val="00D1122A"/>
    <w:rsid w:val="00D17B7C"/>
    <w:rsid w:val="00D17FB4"/>
    <w:rsid w:val="00D20F03"/>
    <w:rsid w:val="00D23893"/>
    <w:rsid w:val="00D26C95"/>
    <w:rsid w:val="00D37EF8"/>
    <w:rsid w:val="00D40911"/>
    <w:rsid w:val="00D41550"/>
    <w:rsid w:val="00D420B8"/>
    <w:rsid w:val="00D43208"/>
    <w:rsid w:val="00D45EDE"/>
    <w:rsid w:val="00D5685B"/>
    <w:rsid w:val="00D633FA"/>
    <w:rsid w:val="00D668B3"/>
    <w:rsid w:val="00D70EE3"/>
    <w:rsid w:val="00D73DAA"/>
    <w:rsid w:val="00D822E3"/>
    <w:rsid w:val="00D92B49"/>
    <w:rsid w:val="00DA376F"/>
    <w:rsid w:val="00DB03A7"/>
    <w:rsid w:val="00DB2D1C"/>
    <w:rsid w:val="00DB34CE"/>
    <w:rsid w:val="00DB5810"/>
    <w:rsid w:val="00DC1559"/>
    <w:rsid w:val="00DC3593"/>
    <w:rsid w:val="00DD32FA"/>
    <w:rsid w:val="00DD42D0"/>
    <w:rsid w:val="00DD7BD3"/>
    <w:rsid w:val="00DE099D"/>
    <w:rsid w:val="00E030AF"/>
    <w:rsid w:val="00E11415"/>
    <w:rsid w:val="00E143A2"/>
    <w:rsid w:val="00E147EA"/>
    <w:rsid w:val="00E167D5"/>
    <w:rsid w:val="00E16D32"/>
    <w:rsid w:val="00E23EF2"/>
    <w:rsid w:val="00E2466F"/>
    <w:rsid w:val="00E256A4"/>
    <w:rsid w:val="00E25BA6"/>
    <w:rsid w:val="00E30CC9"/>
    <w:rsid w:val="00E35F0B"/>
    <w:rsid w:val="00E4536C"/>
    <w:rsid w:val="00E55382"/>
    <w:rsid w:val="00E6656A"/>
    <w:rsid w:val="00E72E25"/>
    <w:rsid w:val="00E97C70"/>
    <w:rsid w:val="00EB0A46"/>
    <w:rsid w:val="00EB1214"/>
    <w:rsid w:val="00EB619C"/>
    <w:rsid w:val="00ED597C"/>
    <w:rsid w:val="00EE20DB"/>
    <w:rsid w:val="00EE589E"/>
    <w:rsid w:val="00EF47B2"/>
    <w:rsid w:val="00EF7E60"/>
    <w:rsid w:val="00F01FA8"/>
    <w:rsid w:val="00F0327F"/>
    <w:rsid w:val="00F142CC"/>
    <w:rsid w:val="00F32A23"/>
    <w:rsid w:val="00F33D96"/>
    <w:rsid w:val="00F40CE0"/>
    <w:rsid w:val="00F4360C"/>
    <w:rsid w:val="00F60D5D"/>
    <w:rsid w:val="00F65041"/>
    <w:rsid w:val="00F701C2"/>
    <w:rsid w:val="00F731B3"/>
    <w:rsid w:val="00F77E98"/>
    <w:rsid w:val="00F80591"/>
    <w:rsid w:val="00F81765"/>
    <w:rsid w:val="00F86554"/>
    <w:rsid w:val="00F93281"/>
    <w:rsid w:val="00FA35B1"/>
    <w:rsid w:val="00FA4844"/>
    <w:rsid w:val="00FB4846"/>
    <w:rsid w:val="00FC23D9"/>
    <w:rsid w:val="00FF3871"/>
    <w:rsid w:val="00FF744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1EC058"/>
  <w15:chartTrackingRefBased/>
  <w15:docId w15:val="{DA3FA843-FB40-4994-983C-02F550BB45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0E44"/>
    <w:pPr>
      <w:spacing w:line="276" w:lineRule="auto"/>
      <w:ind w:firstLine="426"/>
      <w:jc w:val="both"/>
    </w:pPr>
    <w:rPr>
      <w:rFonts w:ascii="Garamond" w:hAnsi="Garamond"/>
    </w:rPr>
  </w:style>
  <w:style w:type="paragraph" w:styleId="Titre1">
    <w:name w:val="heading 1"/>
    <w:basedOn w:val="Normal"/>
    <w:next w:val="Normal"/>
    <w:link w:val="Titre1Car"/>
    <w:uiPriority w:val="9"/>
    <w:qFormat/>
    <w:rsid w:val="00620E44"/>
    <w:pPr>
      <w:keepNext/>
      <w:keepLines/>
      <w:spacing w:before="180" w:after="180"/>
      <w:ind w:firstLine="0"/>
      <w:outlineLvl w:val="0"/>
    </w:pPr>
    <w:rPr>
      <w:rFonts w:eastAsia="MS Gothic" w:cs="Segoe UI Symbol"/>
      <w:b/>
      <w:sz w:val="24"/>
      <w:szCs w:val="24"/>
    </w:rPr>
  </w:style>
  <w:style w:type="paragraph" w:styleId="Titre2">
    <w:name w:val="heading 2"/>
    <w:basedOn w:val="Normal"/>
    <w:next w:val="Normal"/>
    <w:link w:val="Titre2Car"/>
    <w:uiPriority w:val="9"/>
    <w:unhideWhenUsed/>
    <w:qFormat/>
    <w:rsid w:val="00043309"/>
    <w:pPr>
      <w:keepNext/>
      <w:keepLines/>
      <w:spacing w:before="40" w:after="0"/>
      <w:ind w:firstLine="142"/>
      <w:outlineLvl w:val="1"/>
    </w:pPr>
    <w:rPr>
      <w:rFonts w:eastAsiaTheme="majorEastAsia" w:cstheme="majorBidi"/>
      <w:color w:val="000000" w:themeColor="text1"/>
      <w:sz w:val="24"/>
      <w:szCs w:val="23"/>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20E44"/>
    <w:rPr>
      <w:rFonts w:ascii="Garamond" w:eastAsia="MS Gothic" w:hAnsi="Garamond" w:cs="Segoe UI Symbol"/>
      <w:b/>
      <w:sz w:val="24"/>
      <w:szCs w:val="24"/>
    </w:rPr>
  </w:style>
  <w:style w:type="table" w:styleId="Grilledutableau">
    <w:name w:val="Table Grid"/>
    <w:basedOn w:val="TableauNormal"/>
    <w:uiPriority w:val="39"/>
    <w:rsid w:val="001876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aliases w:val="Notes,Titres de parties,rédaction"/>
    <w:qFormat/>
    <w:rsid w:val="002151F8"/>
    <w:pPr>
      <w:spacing w:after="0" w:line="240" w:lineRule="auto"/>
    </w:pPr>
    <w:rPr>
      <w:rFonts w:ascii="Garamond" w:hAnsi="Garamond"/>
      <w:sz w:val="20"/>
    </w:rPr>
  </w:style>
  <w:style w:type="paragraph" w:styleId="Titre">
    <w:name w:val="Title"/>
    <w:basedOn w:val="Normal"/>
    <w:next w:val="Normal"/>
    <w:link w:val="TitreCar"/>
    <w:uiPriority w:val="10"/>
    <w:qFormat/>
    <w:rsid w:val="00620E44"/>
    <w:pPr>
      <w:pBdr>
        <w:bottom w:val="single" w:sz="4" w:space="1" w:color="auto"/>
      </w:pBdr>
      <w:spacing w:after="360" w:line="240" w:lineRule="auto"/>
      <w:contextualSpacing/>
      <w:jc w:val="right"/>
    </w:pPr>
    <w:rPr>
      <w:rFonts w:eastAsiaTheme="majorEastAsia" w:cstheme="majorBidi"/>
      <w:spacing w:val="-10"/>
      <w:kern w:val="28"/>
      <w:sz w:val="32"/>
      <w:szCs w:val="32"/>
    </w:rPr>
  </w:style>
  <w:style w:type="character" w:customStyle="1" w:styleId="TitreCar">
    <w:name w:val="Titre Car"/>
    <w:basedOn w:val="Policepardfaut"/>
    <w:link w:val="Titre"/>
    <w:uiPriority w:val="10"/>
    <w:rsid w:val="00620E44"/>
    <w:rPr>
      <w:rFonts w:ascii="Garamond" w:eastAsiaTheme="majorEastAsia" w:hAnsi="Garamond" w:cstheme="majorBidi"/>
      <w:spacing w:val="-10"/>
      <w:kern w:val="28"/>
      <w:sz w:val="32"/>
      <w:szCs w:val="32"/>
    </w:rPr>
  </w:style>
  <w:style w:type="character" w:styleId="Lienhypertexte">
    <w:name w:val="Hyperlink"/>
    <w:basedOn w:val="Policepardfaut"/>
    <w:uiPriority w:val="99"/>
    <w:unhideWhenUsed/>
    <w:rsid w:val="00C651D6"/>
    <w:rPr>
      <w:color w:val="0563C1" w:themeColor="hyperlink"/>
      <w:u w:val="single"/>
    </w:rPr>
  </w:style>
  <w:style w:type="character" w:styleId="Mentionnonrsolue">
    <w:name w:val="Unresolved Mention"/>
    <w:basedOn w:val="Policepardfaut"/>
    <w:uiPriority w:val="99"/>
    <w:semiHidden/>
    <w:unhideWhenUsed/>
    <w:rsid w:val="00C651D6"/>
    <w:rPr>
      <w:color w:val="605E5C"/>
      <w:shd w:val="clear" w:color="auto" w:fill="E1DFDD"/>
    </w:rPr>
  </w:style>
  <w:style w:type="paragraph" w:styleId="NormalWeb">
    <w:name w:val="Normal (Web)"/>
    <w:basedOn w:val="Normal"/>
    <w:uiPriority w:val="99"/>
    <w:semiHidden/>
    <w:unhideWhenUsed/>
    <w:rsid w:val="0000002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suivivisit">
    <w:name w:val="FollowedHyperlink"/>
    <w:basedOn w:val="Policepardfaut"/>
    <w:uiPriority w:val="99"/>
    <w:semiHidden/>
    <w:unhideWhenUsed/>
    <w:rsid w:val="00050F81"/>
    <w:rPr>
      <w:color w:val="954F72" w:themeColor="followedHyperlink"/>
      <w:u w:val="single"/>
    </w:rPr>
  </w:style>
  <w:style w:type="paragraph" w:customStyle="1" w:styleId="Citationsources">
    <w:name w:val="Citation sources"/>
    <w:basedOn w:val="Normal"/>
    <w:qFormat/>
    <w:rsid w:val="002151F8"/>
    <w:pPr>
      <w:spacing w:before="240" w:after="120"/>
      <w:ind w:firstLine="284"/>
      <w:jc w:val="right"/>
    </w:pPr>
    <w:rPr>
      <w:rFonts w:cs="Times New Roman"/>
      <w:color w:val="000000" w:themeColor="text1"/>
      <w:sz w:val="20"/>
      <w:szCs w:val="20"/>
    </w:rPr>
  </w:style>
  <w:style w:type="paragraph" w:styleId="Paragraphedeliste">
    <w:name w:val="List Paragraph"/>
    <w:basedOn w:val="Normal"/>
    <w:uiPriority w:val="34"/>
    <w:qFormat/>
    <w:rsid w:val="00EB1214"/>
    <w:pPr>
      <w:ind w:left="720"/>
      <w:contextualSpacing/>
    </w:pPr>
  </w:style>
  <w:style w:type="paragraph" w:customStyle="1" w:styleId="Biblio">
    <w:name w:val="Biblio"/>
    <w:basedOn w:val="Normal"/>
    <w:qFormat/>
    <w:rsid w:val="00181056"/>
    <w:pPr>
      <w:spacing w:before="80" w:after="80" w:line="288" w:lineRule="auto"/>
      <w:ind w:firstLine="0"/>
      <w:jc w:val="left"/>
    </w:pPr>
    <w:rPr>
      <w:rFonts w:eastAsiaTheme="minorEastAsia" w:cs="Times New Roman (Corps CS)"/>
      <w:smallCaps/>
      <w:szCs w:val="24"/>
    </w:rPr>
  </w:style>
  <w:style w:type="paragraph" w:styleId="Notedebasdepage">
    <w:name w:val="footnote text"/>
    <w:basedOn w:val="Normal"/>
    <w:link w:val="NotedebasdepageCar"/>
    <w:uiPriority w:val="99"/>
    <w:semiHidden/>
    <w:unhideWhenUsed/>
    <w:rsid w:val="005A69CD"/>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5A69CD"/>
    <w:rPr>
      <w:sz w:val="20"/>
      <w:szCs w:val="20"/>
    </w:rPr>
  </w:style>
  <w:style w:type="character" w:styleId="Appelnotedebasdep">
    <w:name w:val="footnote reference"/>
    <w:basedOn w:val="Policepardfaut"/>
    <w:uiPriority w:val="99"/>
    <w:unhideWhenUsed/>
    <w:rsid w:val="005A69CD"/>
    <w:rPr>
      <w:vertAlign w:val="superscript"/>
    </w:rPr>
  </w:style>
  <w:style w:type="table" w:customStyle="1" w:styleId="Grilledutableau1">
    <w:name w:val="Grille du tableau1"/>
    <w:basedOn w:val="TableauNormal"/>
    <w:next w:val="Grilledutableau"/>
    <w:uiPriority w:val="59"/>
    <w:rsid w:val="00FF3871"/>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
    <w:name w:val="Emphasis"/>
    <w:basedOn w:val="Policepardfaut"/>
    <w:uiPriority w:val="20"/>
    <w:qFormat/>
    <w:rsid w:val="007E0B8A"/>
    <w:rPr>
      <w:i/>
      <w:iCs/>
    </w:rPr>
  </w:style>
  <w:style w:type="character" w:customStyle="1" w:styleId="collection">
    <w:name w:val="collection"/>
    <w:basedOn w:val="Policepardfaut"/>
    <w:rsid w:val="007A0B39"/>
  </w:style>
  <w:style w:type="character" w:customStyle="1" w:styleId="apple-converted-space">
    <w:name w:val="apple-converted-space"/>
    <w:basedOn w:val="Policepardfaut"/>
    <w:rsid w:val="007A0B39"/>
  </w:style>
  <w:style w:type="character" w:customStyle="1" w:styleId="smallcaps">
    <w:name w:val="smallcaps"/>
    <w:basedOn w:val="Policepardfaut"/>
    <w:rsid w:val="007A0B39"/>
  </w:style>
  <w:style w:type="character" w:customStyle="1" w:styleId="Titre2Car">
    <w:name w:val="Titre 2 Car"/>
    <w:basedOn w:val="Policepardfaut"/>
    <w:link w:val="Titre2"/>
    <w:uiPriority w:val="9"/>
    <w:rsid w:val="00043309"/>
    <w:rPr>
      <w:rFonts w:ascii="Garamond" w:eastAsiaTheme="majorEastAsia" w:hAnsi="Garamond" w:cstheme="majorBidi"/>
      <w:color w:val="000000" w:themeColor="text1"/>
      <w:sz w:val="24"/>
      <w:szCs w:val="23"/>
      <w:u w:val="single"/>
    </w:rPr>
  </w:style>
  <w:style w:type="paragraph" w:styleId="TM1">
    <w:name w:val="toc 1"/>
    <w:basedOn w:val="Normal"/>
    <w:next w:val="Normal"/>
    <w:autoRedefine/>
    <w:uiPriority w:val="39"/>
    <w:unhideWhenUsed/>
    <w:rsid w:val="004954AF"/>
    <w:pPr>
      <w:tabs>
        <w:tab w:val="right" w:pos="9288"/>
      </w:tabs>
      <w:spacing w:before="120" w:after="120"/>
      <w:ind w:left="142" w:firstLine="0"/>
      <w:jc w:val="left"/>
    </w:pPr>
    <w:rPr>
      <w:rFonts w:asciiTheme="minorHAnsi" w:hAnsiTheme="minorHAnsi" w:cstheme="minorHAnsi"/>
      <w:b/>
      <w:bCs/>
      <w:sz w:val="20"/>
      <w:szCs w:val="20"/>
    </w:rPr>
  </w:style>
  <w:style w:type="paragraph" w:styleId="TM2">
    <w:name w:val="toc 2"/>
    <w:basedOn w:val="Normal"/>
    <w:next w:val="Normal"/>
    <w:autoRedefine/>
    <w:uiPriority w:val="39"/>
    <w:unhideWhenUsed/>
    <w:rsid w:val="004954AF"/>
    <w:pPr>
      <w:spacing w:before="120" w:after="0"/>
      <w:ind w:left="220"/>
      <w:jc w:val="left"/>
    </w:pPr>
    <w:rPr>
      <w:rFonts w:asciiTheme="minorHAnsi" w:hAnsiTheme="minorHAnsi" w:cstheme="minorHAnsi"/>
      <w:i/>
      <w:iCs/>
      <w:sz w:val="20"/>
      <w:szCs w:val="20"/>
    </w:rPr>
  </w:style>
  <w:style w:type="paragraph" w:styleId="TM3">
    <w:name w:val="toc 3"/>
    <w:basedOn w:val="Normal"/>
    <w:next w:val="Normal"/>
    <w:autoRedefine/>
    <w:uiPriority w:val="39"/>
    <w:unhideWhenUsed/>
    <w:rsid w:val="004954AF"/>
    <w:pPr>
      <w:spacing w:after="0"/>
      <w:ind w:left="440"/>
      <w:jc w:val="left"/>
    </w:pPr>
    <w:rPr>
      <w:rFonts w:asciiTheme="minorHAnsi" w:hAnsiTheme="minorHAnsi" w:cstheme="minorHAnsi"/>
      <w:sz w:val="20"/>
      <w:szCs w:val="20"/>
    </w:rPr>
  </w:style>
  <w:style w:type="paragraph" w:styleId="TM4">
    <w:name w:val="toc 4"/>
    <w:basedOn w:val="Normal"/>
    <w:next w:val="Normal"/>
    <w:autoRedefine/>
    <w:uiPriority w:val="39"/>
    <w:unhideWhenUsed/>
    <w:rsid w:val="004954AF"/>
    <w:pPr>
      <w:spacing w:after="0"/>
      <w:ind w:left="660"/>
      <w:jc w:val="left"/>
    </w:pPr>
    <w:rPr>
      <w:rFonts w:asciiTheme="minorHAnsi" w:hAnsiTheme="minorHAnsi" w:cstheme="minorHAnsi"/>
      <w:sz w:val="20"/>
      <w:szCs w:val="20"/>
    </w:rPr>
  </w:style>
  <w:style w:type="paragraph" w:styleId="TM5">
    <w:name w:val="toc 5"/>
    <w:basedOn w:val="Normal"/>
    <w:next w:val="Normal"/>
    <w:autoRedefine/>
    <w:uiPriority w:val="39"/>
    <w:unhideWhenUsed/>
    <w:rsid w:val="004954AF"/>
    <w:pPr>
      <w:spacing w:after="0"/>
      <w:ind w:left="880"/>
      <w:jc w:val="left"/>
    </w:pPr>
    <w:rPr>
      <w:rFonts w:asciiTheme="minorHAnsi" w:hAnsiTheme="minorHAnsi" w:cstheme="minorHAnsi"/>
      <w:sz w:val="20"/>
      <w:szCs w:val="20"/>
    </w:rPr>
  </w:style>
  <w:style w:type="paragraph" w:styleId="TM6">
    <w:name w:val="toc 6"/>
    <w:basedOn w:val="Normal"/>
    <w:next w:val="Normal"/>
    <w:autoRedefine/>
    <w:uiPriority w:val="39"/>
    <w:unhideWhenUsed/>
    <w:rsid w:val="004954AF"/>
    <w:pPr>
      <w:spacing w:after="0"/>
      <w:ind w:left="1100"/>
      <w:jc w:val="left"/>
    </w:pPr>
    <w:rPr>
      <w:rFonts w:asciiTheme="minorHAnsi" w:hAnsiTheme="minorHAnsi" w:cstheme="minorHAnsi"/>
      <w:sz w:val="20"/>
      <w:szCs w:val="20"/>
    </w:rPr>
  </w:style>
  <w:style w:type="paragraph" w:styleId="TM7">
    <w:name w:val="toc 7"/>
    <w:basedOn w:val="Normal"/>
    <w:next w:val="Normal"/>
    <w:autoRedefine/>
    <w:uiPriority w:val="39"/>
    <w:unhideWhenUsed/>
    <w:rsid w:val="004954AF"/>
    <w:pPr>
      <w:spacing w:after="0"/>
      <w:ind w:left="1320"/>
      <w:jc w:val="left"/>
    </w:pPr>
    <w:rPr>
      <w:rFonts w:asciiTheme="minorHAnsi" w:hAnsiTheme="minorHAnsi" w:cstheme="minorHAnsi"/>
      <w:sz w:val="20"/>
      <w:szCs w:val="20"/>
    </w:rPr>
  </w:style>
  <w:style w:type="paragraph" w:styleId="TM8">
    <w:name w:val="toc 8"/>
    <w:basedOn w:val="Normal"/>
    <w:next w:val="Normal"/>
    <w:autoRedefine/>
    <w:uiPriority w:val="39"/>
    <w:unhideWhenUsed/>
    <w:rsid w:val="004954AF"/>
    <w:pPr>
      <w:spacing w:after="0"/>
      <w:ind w:left="1540"/>
      <w:jc w:val="left"/>
    </w:pPr>
    <w:rPr>
      <w:rFonts w:asciiTheme="minorHAnsi" w:hAnsiTheme="minorHAnsi" w:cstheme="minorHAnsi"/>
      <w:sz w:val="20"/>
      <w:szCs w:val="20"/>
    </w:rPr>
  </w:style>
  <w:style w:type="paragraph" w:styleId="TM9">
    <w:name w:val="toc 9"/>
    <w:basedOn w:val="Normal"/>
    <w:next w:val="Normal"/>
    <w:autoRedefine/>
    <w:uiPriority w:val="39"/>
    <w:unhideWhenUsed/>
    <w:rsid w:val="004954AF"/>
    <w:pPr>
      <w:spacing w:after="0"/>
      <w:ind w:left="1760"/>
      <w:jc w:val="left"/>
    </w:pPr>
    <w:rPr>
      <w:rFonts w:asciiTheme="minorHAnsi" w:hAnsiTheme="minorHAnsi" w:cstheme="minorHAnsi"/>
      <w:sz w:val="20"/>
      <w:szCs w:val="20"/>
    </w:rPr>
  </w:style>
  <w:style w:type="paragraph" w:styleId="En-tte">
    <w:name w:val="header"/>
    <w:basedOn w:val="Normal"/>
    <w:link w:val="En-tteCar"/>
    <w:uiPriority w:val="99"/>
    <w:unhideWhenUsed/>
    <w:rsid w:val="00A77E43"/>
    <w:pPr>
      <w:tabs>
        <w:tab w:val="center" w:pos="4536"/>
        <w:tab w:val="right" w:pos="9072"/>
      </w:tabs>
      <w:spacing w:after="0" w:line="240" w:lineRule="auto"/>
    </w:pPr>
  </w:style>
  <w:style w:type="character" w:customStyle="1" w:styleId="En-tteCar">
    <w:name w:val="En-tête Car"/>
    <w:basedOn w:val="Policepardfaut"/>
    <w:link w:val="En-tte"/>
    <w:uiPriority w:val="99"/>
    <w:rsid w:val="00A77E43"/>
    <w:rPr>
      <w:rFonts w:ascii="Garamond" w:hAnsi="Garamond"/>
    </w:rPr>
  </w:style>
  <w:style w:type="paragraph" w:styleId="Pieddepage">
    <w:name w:val="footer"/>
    <w:basedOn w:val="Normal"/>
    <w:link w:val="PieddepageCar"/>
    <w:uiPriority w:val="99"/>
    <w:unhideWhenUsed/>
    <w:rsid w:val="00A77E4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77E43"/>
    <w:rPr>
      <w:rFonts w:ascii="Garamond" w:hAnsi="Garamond"/>
    </w:rPr>
  </w:style>
  <w:style w:type="character" w:styleId="Numrodepage">
    <w:name w:val="page number"/>
    <w:basedOn w:val="Policepardfaut"/>
    <w:uiPriority w:val="99"/>
    <w:semiHidden/>
    <w:unhideWhenUsed/>
    <w:rsid w:val="00A77E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729634">
      <w:bodyDiv w:val="1"/>
      <w:marLeft w:val="0"/>
      <w:marRight w:val="0"/>
      <w:marTop w:val="0"/>
      <w:marBottom w:val="0"/>
      <w:divBdr>
        <w:top w:val="none" w:sz="0" w:space="0" w:color="auto"/>
        <w:left w:val="none" w:sz="0" w:space="0" w:color="auto"/>
        <w:bottom w:val="none" w:sz="0" w:space="0" w:color="auto"/>
        <w:right w:val="none" w:sz="0" w:space="0" w:color="auto"/>
      </w:divBdr>
    </w:div>
    <w:div w:id="66803991">
      <w:bodyDiv w:val="1"/>
      <w:marLeft w:val="0"/>
      <w:marRight w:val="0"/>
      <w:marTop w:val="0"/>
      <w:marBottom w:val="0"/>
      <w:divBdr>
        <w:top w:val="none" w:sz="0" w:space="0" w:color="auto"/>
        <w:left w:val="none" w:sz="0" w:space="0" w:color="auto"/>
        <w:bottom w:val="none" w:sz="0" w:space="0" w:color="auto"/>
        <w:right w:val="none" w:sz="0" w:space="0" w:color="auto"/>
      </w:divBdr>
    </w:div>
    <w:div w:id="112332219">
      <w:bodyDiv w:val="1"/>
      <w:marLeft w:val="0"/>
      <w:marRight w:val="0"/>
      <w:marTop w:val="0"/>
      <w:marBottom w:val="0"/>
      <w:divBdr>
        <w:top w:val="none" w:sz="0" w:space="0" w:color="auto"/>
        <w:left w:val="none" w:sz="0" w:space="0" w:color="auto"/>
        <w:bottom w:val="none" w:sz="0" w:space="0" w:color="auto"/>
        <w:right w:val="none" w:sz="0" w:space="0" w:color="auto"/>
      </w:divBdr>
    </w:div>
    <w:div w:id="119693249">
      <w:bodyDiv w:val="1"/>
      <w:marLeft w:val="0"/>
      <w:marRight w:val="0"/>
      <w:marTop w:val="0"/>
      <w:marBottom w:val="0"/>
      <w:divBdr>
        <w:top w:val="none" w:sz="0" w:space="0" w:color="auto"/>
        <w:left w:val="none" w:sz="0" w:space="0" w:color="auto"/>
        <w:bottom w:val="none" w:sz="0" w:space="0" w:color="auto"/>
        <w:right w:val="none" w:sz="0" w:space="0" w:color="auto"/>
      </w:divBdr>
    </w:div>
    <w:div w:id="213472385">
      <w:bodyDiv w:val="1"/>
      <w:marLeft w:val="0"/>
      <w:marRight w:val="0"/>
      <w:marTop w:val="0"/>
      <w:marBottom w:val="0"/>
      <w:divBdr>
        <w:top w:val="none" w:sz="0" w:space="0" w:color="auto"/>
        <w:left w:val="none" w:sz="0" w:space="0" w:color="auto"/>
        <w:bottom w:val="none" w:sz="0" w:space="0" w:color="auto"/>
        <w:right w:val="none" w:sz="0" w:space="0" w:color="auto"/>
      </w:divBdr>
      <w:divsChild>
        <w:div w:id="878978978">
          <w:marLeft w:val="0"/>
          <w:marRight w:val="0"/>
          <w:marTop w:val="0"/>
          <w:marBottom w:val="0"/>
          <w:divBdr>
            <w:top w:val="none" w:sz="0" w:space="0" w:color="auto"/>
            <w:left w:val="none" w:sz="0" w:space="0" w:color="auto"/>
            <w:bottom w:val="none" w:sz="0" w:space="0" w:color="auto"/>
            <w:right w:val="none" w:sz="0" w:space="0" w:color="auto"/>
          </w:divBdr>
          <w:divsChild>
            <w:div w:id="203437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402872">
      <w:bodyDiv w:val="1"/>
      <w:marLeft w:val="0"/>
      <w:marRight w:val="0"/>
      <w:marTop w:val="0"/>
      <w:marBottom w:val="0"/>
      <w:divBdr>
        <w:top w:val="none" w:sz="0" w:space="0" w:color="auto"/>
        <w:left w:val="none" w:sz="0" w:space="0" w:color="auto"/>
        <w:bottom w:val="none" w:sz="0" w:space="0" w:color="auto"/>
        <w:right w:val="none" w:sz="0" w:space="0" w:color="auto"/>
      </w:divBdr>
    </w:div>
    <w:div w:id="444810052">
      <w:bodyDiv w:val="1"/>
      <w:marLeft w:val="0"/>
      <w:marRight w:val="0"/>
      <w:marTop w:val="0"/>
      <w:marBottom w:val="0"/>
      <w:divBdr>
        <w:top w:val="none" w:sz="0" w:space="0" w:color="auto"/>
        <w:left w:val="none" w:sz="0" w:space="0" w:color="auto"/>
        <w:bottom w:val="none" w:sz="0" w:space="0" w:color="auto"/>
        <w:right w:val="none" w:sz="0" w:space="0" w:color="auto"/>
      </w:divBdr>
      <w:divsChild>
        <w:div w:id="1642493350">
          <w:marLeft w:val="0"/>
          <w:marRight w:val="0"/>
          <w:marTop w:val="0"/>
          <w:marBottom w:val="0"/>
          <w:divBdr>
            <w:top w:val="none" w:sz="0" w:space="0" w:color="auto"/>
            <w:left w:val="none" w:sz="0" w:space="0" w:color="auto"/>
            <w:bottom w:val="none" w:sz="0" w:space="0" w:color="auto"/>
            <w:right w:val="none" w:sz="0" w:space="0" w:color="auto"/>
          </w:divBdr>
          <w:divsChild>
            <w:div w:id="1117142413">
              <w:marLeft w:val="0"/>
              <w:marRight w:val="0"/>
              <w:marTop w:val="0"/>
              <w:marBottom w:val="0"/>
              <w:divBdr>
                <w:top w:val="none" w:sz="0" w:space="0" w:color="auto"/>
                <w:left w:val="none" w:sz="0" w:space="0" w:color="auto"/>
                <w:bottom w:val="none" w:sz="0" w:space="0" w:color="auto"/>
                <w:right w:val="none" w:sz="0" w:space="0" w:color="auto"/>
              </w:divBdr>
              <w:divsChild>
                <w:div w:id="57019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063360">
      <w:bodyDiv w:val="1"/>
      <w:marLeft w:val="0"/>
      <w:marRight w:val="0"/>
      <w:marTop w:val="0"/>
      <w:marBottom w:val="0"/>
      <w:divBdr>
        <w:top w:val="none" w:sz="0" w:space="0" w:color="auto"/>
        <w:left w:val="none" w:sz="0" w:space="0" w:color="auto"/>
        <w:bottom w:val="none" w:sz="0" w:space="0" w:color="auto"/>
        <w:right w:val="none" w:sz="0" w:space="0" w:color="auto"/>
      </w:divBdr>
    </w:div>
    <w:div w:id="607588196">
      <w:bodyDiv w:val="1"/>
      <w:marLeft w:val="0"/>
      <w:marRight w:val="0"/>
      <w:marTop w:val="0"/>
      <w:marBottom w:val="0"/>
      <w:divBdr>
        <w:top w:val="none" w:sz="0" w:space="0" w:color="auto"/>
        <w:left w:val="none" w:sz="0" w:space="0" w:color="auto"/>
        <w:bottom w:val="none" w:sz="0" w:space="0" w:color="auto"/>
        <w:right w:val="none" w:sz="0" w:space="0" w:color="auto"/>
      </w:divBdr>
      <w:divsChild>
        <w:div w:id="1457987684">
          <w:marLeft w:val="0"/>
          <w:marRight w:val="0"/>
          <w:marTop w:val="0"/>
          <w:marBottom w:val="0"/>
          <w:divBdr>
            <w:top w:val="none" w:sz="0" w:space="0" w:color="auto"/>
            <w:left w:val="none" w:sz="0" w:space="0" w:color="auto"/>
            <w:bottom w:val="none" w:sz="0" w:space="0" w:color="auto"/>
            <w:right w:val="none" w:sz="0" w:space="0" w:color="auto"/>
          </w:divBdr>
          <w:divsChild>
            <w:div w:id="1343824413">
              <w:marLeft w:val="0"/>
              <w:marRight w:val="0"/>
              <w:marTop w:val="0"/>
              <w:marBottom w:val="0"/>
              <w:divBdr>
                <w:top w:val="none" w:sz="0" w:space="0" w:color="auto"/>
                <w:left w:val="none" w:sz="0" w:space="0" w:color="auto"/>
                <w:bottom w:val="none" w:sz="0" w:space="0" w:color="auto"/>
                <w:right w:val="none" w:sz="0" w:space="0" w:color="auto"/>
              </w:divBdr>
              <w:divsChild>
                <w:div w:id="1979072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186927">
      <w:bodyDiv w:val="1"/>
      <w:marLeft w:val="0"/>
      <w:marRight w:val="0"/>
      <w:marTop w:val="0"/>
      <w:marBottom w:val="0"/>
      <w:divBdr>
        <w:top w:val="none" w:sz="0" w:space="0" w:color="auto"/>
        <w:left w:val="none" w:sz="0" w:space="0" w:color="auto"/>
        <w:bottom w:val="none" w:sz="0" w:space="0" w:color="auto"/>
        <w:right w:val="none" w:sz="0" w:space="0" w:color="auto"/>
      </w:divBdr>
      <w:divsChild>
        <w:div w:id="1828202323">
          <w:marLeft w:val="0"/>
          <w:marRight w:val="0"/>
          <w:marTop w:val="0"/>
          <w:marBottom w:val="0"/>
          <w:divBdr>
            <w:top w:val="none" w:sz="0" w:space="0" w:color="auto"/>
            <w:left w:val="none" w:sz="0" w:space="0" w:color="auto"/>
            <w:bottom w:val="none" w:sz="0" w:space="0" w:color="auto"/>
            <w:right w:val="none" w:sz="0" w:space="0" w:color="auto"/>
          </w:divBdr>
        </w:div>
      </w:divsChild>
    </w:div>
    <w:div w:id="657808958">
      <w:bodyDiv w:val="1"/>
      <w:marLeft w:val="0"/>
      <w:marRight w:val="0"/>
      <w:marTop w:val="0"/>
      <w:marBottom w:val="0"/>
      <w:divBdr>
        <w:top w:val="none" w:sz="0" w:space="0" w:color="auto"/>
        <w:left w:val="none" w:sz="0" w:space="0" w:color="auto"/>
        <w:bottom w:val="none" w:sz="0" w:space="0" w:color="auto"/>
        <w:right w:val="none" w:sz="0" w:space="0" w:color="auto"/>
      </w:divBdr>
    </w:div>
    <w:div w:id="822938010">
      <w:bodyDiv w:val="1"/>
      <w:marLeft w:val="0"/>
      <w:marRight w:val="0"/>
      <w:marTop w:val="0"/>
      <w:marBottom w:val="0"/>
      <w:divBdr>
        <w:top w:val="none" w:sz="0" w:space="0" w:color="auto"/>
        <w:left w:val="none" w:sz="0" w:space="0" w:color="auto"/>
        <w:bottom w:val="none" w:sz="0" w:space="0" w:color="auto"/>
        <w:right w:val="none" w:sz="0" w:space="0" w:color="auto"/>
      </w:divBdr>
      <w:divsChild>
        <w:div w:id="1671059013">
          <w:marLeft w:val="0"/>
          <w:marRight w:val="0"/>
          <w:marTop w:val="0"/>
          <w:marBottom w:val="0"/>
          <w:divBdr>
            <w:top w:val="none" w:sz="0" w:space="0" w:color="auto"/>
            <w:left w:val="none" w:sz="0" w:space="0" w:color="auto"/>
            <w:bottom w:val="none" w:sz="0" w:space="0" w:color="auto"/>
            <w:right w:val="none" w:sz="0" w:space="0" w:color="auto"/>
          </w:divBdr>
          <w:divsChild>
            <w:div w:id="1414668573">
              <w:marLeft w:val="0"/>
              <w:marRight w:val="0"/>
              <w:marTop w:val="0"/>
              <w:marBottom w:val="0"/>
              <w:divBdr>
                <w:top w:val="none" w:sz="0" w:space="0" w:color="auto"/>
                <w:left w:val="none" w:sz="0" w:space="0" w:color="auto"/>
                <w:bottom w:val="none" w:sz="0" w:space="0" w:color="auto"/>
                <w:right w:val="none" w:sz="0" w:space="0" w:color="auto"/>
              </w:divBdr>
              <w:divsChild>
                <w:div w:id="7478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454256">
      <w:bodyDiv w:val="1"/>
      <w:marLeft w:val="0"/>
      <w:marRight w:val="0"/>
      <w:marTop w:val="0"/>
      <w:marBottom w:val="0"/>
      <w:divBdr>
        <w:top w:val="none" w:sz="0" w:space="0" w:color="auto"/>
        <w:left w:val="none" w:sz="0" w:space="0" w:color="auto"/>
        <w:bottom w:val="none" w:sz="0" w:space="0" w:color="auto"/>
        <w:right w:val="none" w:sz="0" w:space="0" w:color="auto"/>
      </w:divBdr>
      <w:divsChild>
        <w:div w:id="1043672889">
          <w:marLeft w:val="0"/>
          <w:marRight w:val="0"/>
          <w:marTop w:val="0"/>
          <w:marBottom w:val="0"/>
          <w:divBdr>
            <w:top w:val="none" w:sz="0" w:space="0" w:color="auto"/>
            <w:left w:val="none" w:sz="0" w:space="0" w:color="auto"/>
            <w:bottom w:val="none" w:sz="0" w:space="0" w:color="auto"/>
            <w:right w:val="none" w:sz="0" w:space="0" w:color="auto"/>
          </w:divBdr>
          <w:divsChild>
            <w:div w:id="1979874314">
              <w:marLeft w:val="0"/>
              <w:marRight w:val="0"/>
              <w:marTop w:val="0"/>
              <w:marBottom w:val="0"/>
              <w:divBdr>
                <w:top w:val="none" w:sz="0" w:space="0" w:color="auto"/>
                <w:left w:val="none" w:sz="0" w:space="0" w:color="auto"/>
                <w:bottom w:val="none" w:sz="0" w:space="0" w:color="auto"/>
                <w:right w:val="none" w:sz="0" w:space="0" w:color="auto"/>
              </w:divBdr>
              <w:divsChild>
                <w:div w:id="148045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536471">
      <w:bodyDiv w:val="1"/>
      <w:marLeft w:val="0"/>
      <w:marRight w:val="0"/>
      <w:marTop w:val="0"/>
      <w:marBottom w:val="0"/>
      <w:divBdr>
        <w:top w:val="none" w:sz="0" w:space="0" w:color="auto"/>
        <w:left w:val="none" w:sz="0" w:space="0" w:color="auto"/>
        <w:bottom w:val="none" w:sz="0" w:space="0" w:color="auto"/>
        <w:right w:val="none" w:sz="0" w:space="0" w:color="auto"/>
      </w:divBdr>
      <w:divsChild>
        <w:div w:id="1368408163">
          <w:marLeft w:val="0"/>
          <w:marRight w:val="0"/>
          <w:marTop w:val="0"/>
          <w:marBottom w:val="0"/>
          <w:divBdr>
            <w:top w:val="none" w:sz="0" w:space="0" w:color="auto"/>
            <w:left w:val="none" w:sz="0" w:space="0" w:color="auto"/>
            <w:bottom w:val="none" w:sz="0" w:space="0" w:color="auto"/>
            <w:right w:val="none" w:sz="0" w:space="0" w:color="auto"/>
          </w:divBdr>
          <w:divsChild>
            <w:div w:id="10547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704424">
      <w:bodyDiv w:val="1"/>
      <w:marLeft w:val="0"/>
      <w:marRight w:val="0"/>
      <w:marTop w:val="0"/>
      <w:marBottom w:val="0"/>
      <w:divBdr>
        <w:top w:val="none" w:sz="0" w:space="0" w:color="auto"/>
        <w:left w:val="none" w:sz="0" w:space="0" w:color="auto"/>
        <w:bottom w:val="none" w:sz="0" w:space="0" w:color="auto"/>
        <w:right w:val="none" w:sz="0" w:space="0" w:color="auto"/>
      </w:divBdr>
    </w:div>
    <w:div w:id="1132403197">
      <w:bodyDiv w:val="1"/>
      <w:marLeft w:val="0"/>
      <w:marRight w:val="0"/>
      <w:marTop w:val="0"/>
      <w:marBottom w:val="0"/>
      <w:divBdr>
        <w:top w:val="none" w:sz="0" w:space="0" w:color="auto"/>
        <w:left w:val="none" w:sz="0" w:space="0" w:color="auto"/>
        <w:bottom w:val="none" w:sz="0" w:space="0" w:color="auto"/>
        <w:right w:val="none" w:sz="0" w:space="0" w:color="auto"/>
      </w:divBdr>
    </w:div>
    <w:div w:id="1163165082">
      <w:bodyDiv w:val="1"/>
      <w:marLeft w:val="0"/>
      <w:marRight w:val="0"/>
      <w:marTop w:val="0"/>
      <w:marBottom w:val="0"/>
      <w:divBdr>
        <w:top w:val="none" w:sz="0" w:space="0" w:color="auto"/>
        <w:left w:val="none" w:sz="0" w:space="0" w:color="auto"/>
        <w:bottom w:val="none" w:sz="0" w:space="0" w:color="auto"/>
        <w:right w:val="none" w:sz="0" w:space="0" w:color="auto"/>
      </w:divBdr>
    </w:div>
    <w:div w:id="1222910399">
      <w:bodyDiv w:val="1"/>
      <w:marLeft w:val="0"/>
      <w:marRight w:val="0"/>
      <w:marTop w:val="0"/>
      <w:marBottom w:val="0"/>
      <w:divBdr>
        <w:top w:val="none" w:sz="0" w:space="0" w:color="auto"/>
        <w:left w:val="none" w:sz="0" w:space="0" w:color="auto"/>
        <w:bottom w:val="none" w:sz="0" w:space="0" w:color="auto"/>
        <w:right w:val="none" w:sz="0" w:space="0" w:color="auto"/>
      </w:divBdr>
      <w:divsChild>
        <w:div w:id="423309314">
          <w:marLeft w:val="0"/>
          <w:marRight w:val="0"/>
          <w:marTop w:val="0"/>
          <w:marBottom w:val="0"/>
          <w:divBdr>
            <w:top w:val="none" w:sz="0" w:space="0" w:color="auto"/>
            <w:left w:val="none" w:sz="0" w:space="0" w:color="auto"/>
            <w:bottom w:val="none" w:sz="0" w:space="0" w:color="auto"/>
            <w:right w:val="none" w:sz="0" w:space="0" w:color="auto"/>
          </w:divBdr>
          <w:divsChild>
            <w:div w:id="1127285073">
              <w:marLeft w:val="0"/>
              <w:marRight w:val="0"/>
              <w:marTop w:val="0"/>
              <w:marBottom w:val="0"/>
              <w:divBdr>
                <w:top w:val="none" w:sz="0" w:space="0" w:color="auto"/>
                <w:left w:val="none" w:sz="0" w:space="0" w:color="auto"/>
                <w:bottom w:val="none" w:sz="0" w:space="0" w:color="auto"/>
                <w:right w:val="none" w:sz="0" w:space="0" w:color="auto"/>
              </w:divBdr>
              <w:divsChild>
                <w:div w:id="119488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495833">
      <w:bodyDiv w:val="1"/>
      <w:marLeft w:val="0"/>
      <w:marRight w:val="0"/>
      <w:marTop w:val="0"/>
      <w:marBottom w:val="0"/>
      <w:divBdr>
        <w:top w:val="none" w:sz="0" w:space="0" w:color="auto"/>
        <w:left w:val="none" w:sz="0" w:space="0" w:color="auto"/>
        <w:bottom w:val="none" w:sz="0" w:space="0" w:color="auto"/>
        <w:right w:val="none" w:sz="0" w:space="0" w:color="auto"/>
      </w:divBdr>
    </w:div>
    <w:div w:id="1231620065">
      <w:bodyDiv w:val="1"/>
      <w:marLeft w:val="0"/>
      <w:marRight w:val="0"/>
      <w:marTop w:val="0"/>
      <w:marBottom w:val="0"/>
      <w:divBdr>
        <w:top w:val="none" w:sz="0" w:space="0" w:color="auto"/>
        <w:left w:val="none" w:sz="0" w:space="0" w:color="auto"/>
        <w:bottom w:val="none" w:sz="0" w:space="0" w:color="auto"/>
        <w:right w:val="none" w:sz="0" w:space="0" w:color="auto"/>
      </w:divBdr>
    </w:div>
    <w:div w:id="1303728576">
      <w:bodyDiv w:val="1"/>
      <w:marLeft w:val="0"/>
      <w:marRight w:val="0"/>
      <w:marTop w:val="0"/>
      <w:marBottom w:val="0"/>
      <w:divBdr>
        <w:top w:val="none" w:sz="0" w:space="0" w:color="auto"/>
        <w:left w:val="none" w:sz="0" w:space="0" w:color="auto"/>
        <w:bottom w:val="none" w:sz="0" w:space="0" w:color="auto"/>
        <w:right w:val="none" w:sz="0" w:space="0" w:color="auto"/>
      </w:divBdr>
      <w:divsChild>
        <w:div w:id="1345866325">
          <w:marLeft w:val="0"/>
          <w:marRight w:val="0"/>
          <w:marTop w:val="0"/>
          <w:marBottom w:val="0"/>
          <w:divBdr>
            <w:top w:val="none" w:sz="0" w:space="0" w:color="auto"/>
            <w:left w:val="none" w:sz="0" w:space="0" w:color="auto"/>
            <w:bottom w:val="none" w:sz="0" w:space="0" w:color="auto"/>
            <w:right w:val="none" w:sz="0" w:space="0" w:color="auto"/>
          </w:divBdr>
          <w:divsChild>
            <w:div w:id="101389105">
              <w:marLeft w:val="0"/>
              <w:marRight w:val="0"/>
              <w:marTop w:val="0"/>
              <w:marBottom w:val="0"/>
              <w:divBdr>
                <w:top w:val="none" w:sz="0" w:space="0" w:color="auto"/>
                <w:left w:val="none" w:sz="0" w:space="0" w:color="auto"/>
                <w:bottom w:val="none" w:sz="0" w:space="0" w:color="auto"/>
                <w:right w:val="none" w:sz="0" w:space="0" w:color="auto"/>
              </w:divBdr>
              <w:divsChild>
                <w:div w:id="87230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718523">
      <w:bodyDiv w:val="1"/>
      <w:marLeft w:val="0"/>
      <w:marRight w:val="0"/>
      <w:marTop w:val="0"/>
      <w:marBottom w:val="0"/>
      <w:divBdr>
        <w:top w:val="none" w:sz="0" w:space="0" w:color="auto"/>
        <w:left w:val="none" w:sz="0" w:space="0" w:color="auto"/>
        <w:bottom w:val="none" w:sz="0" w:space="0" w:color="auto"/>
        <w:right w:val="none" w:sz="0" w:space="0" w:color="auto"/>
      </w:divBdr>
    </w:div>
    <w:div w:id="1419864843">
      <w:bodyDiv w:val="1"/>
      <w:marLeft w:val="0"/>
      <w:marRight w:val="0"/>
      <w:marTop w:val="0"/>
      <w:marBottom w:val="0"/>
      <w:divBdr>
        <w:top w:val="none" w:sz="0" w:space="0" w:color="auto"/>
        <w:left w:val="none" w:sz="0" w:space="0" w:color="auto"/>
        <w:bottom w:val="none" w:sz="0" w:space="0" w:color="auto"/>
        <w:right w:val="none" w:sz="0" w:space="0" w:color="auto"/>
      </w:divBdr>
    </w:div>
    <w:div w:id="1441948367">
      <w:bodyDiv w:val="1"/>
      <w:marLeft w:val="0"/>
      <w:marRight w:val="0"/>
      <w:marTop w:val="0"/>
      <w:marBottom w:val="0"/>
      <w:divBdr>
        <w:top w:val="none" w:sz="0" w:space="0" w:color="auto"/>
        <w:left w:val="none" w:sz="0" w:space="0" w:color="auto"/>
        <w:bottom w:val="none" w:sz="0" w:space="0" w:color="auto"/>
        <w:right w:val="none" w:sz="0" w:space="0" w:color="auto"/>
      </w:divBdr>
    </w:div>
    <w:div w:id="1464424024">
      <w:bodyDiv w:val="1"/>
      <w:marLeft w:val="0"/>
      <w:marRight w:val="0"/>
      <w:marTop w:val="0"/>
      <w:marBottom w:val="0"/>
      <w:divBdr>
        <w:top w:val="none" w:sz="0" w:space="0" w:color="auto"/>
        <w:left w:val="none" w:sz="0" w:space="0" w:color="auto"/>
        <w:bottom w:val="none" w:sz="0" w:space="0" w:color="auto"/>
        <w:right w:val="none" w:sz="0" w:space="0" w:color="auto"/>
      </w:divBdr>
      <w:divsChild>
        <w:div w:id="910308428">
          <w:marLeft w:val="0"/>
          <w:marRight w:val="0"/>
          <w:marTop w:val="0"/>
          <w:marBottom w:val="0"/>
          <w:divBdr>
            <w:top w:val="none" w:sz="0" w:space="0" w:color="auto"/>
            <w:left w:val="none" w:sz="0" w:space="0" w:color="auto"/>
            <w:bottom w:val="none" w:sz="0" w:space="0" w:color="auto"/>
            <w:right w:val="none" w:sz="0" w:space="0" w:color="auto"/>
          </w:divBdr>
          <w:divsChild>
            <w:div w:id="769545256">
              <w:marLeft w:val="0"/>
              <w:marRight w:val="0"/>
              <w:marTop w:val="0"/>
              <w:marBottom w:val="0"/>
              <w:divBdr>
                <w:top w:val="none" w:sz="0" w:space="0" w:color="auto"/>
                <w:left w:val="none" w:sz="0" w:space="0" w:color="auto"/>
                <w:bottom w:val="none" w:sz="0" w:space="0" w:color="auto"/>
                <w:right w:val="none" w:sz="0" w:space="0" w:color="auto"/>
              </w:divBdr>
              <w:divsChild>
                <w:div w:id="166581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687374">
      <w:bodyDiv w:val="1"/>
      <w:marLeft w:val="0"/>
      <w:marRight w:val="0"/>
      <w:marTop w:val="0"/>
      <w:marBottom w:val="0"/>
      <w:divBdr>
        <w:top w:val="none" w:sz="0" w:space="0" w:color="auto"/>
        <w:left w:val="none" w:sz="0" w:space="0" w:color="auto"/>
        <w:bottom w:val="none" w:sz="0" w:space="0" w:color="auto"/>
        <w:right w:val="none" w:sz="0" w:space="0" w:color="auto"/>
      </w:divBdr>
    </w:div>
    <w:div w:id="1653606321">
      <w:bodyDiv w:val="1"/>
      <w:marLeft w:val="0"/>
      <w:marRight w:val="0"/>
      <w:marTop w:val="0"/>
      <w:marBottom w:val="0"/>
      <w:divBdr>
        <w:top w:val="none" w:sz="0" w:space="0" w:color="auto"/>
        <w:left w:val="none" w:sz="0" w:space="0" w:color="auto"/>
        <w:bottom w:val="none" w:sz="0" w:space="0" w:color="auto"/>
        <w:right w:val="none" w:sz="0" w:space="0" w:color="auto"/>
      </w:divBdr>
    </w:div>
    <w:div w:id="1769350448">
      <w:bodyDiv w:val="1"/>
      <w:marLeft w:val="0"/>
      <w:marRight w:val="0"/>
      <w:marTop w:val="0"/>
      <w:marBottom w:val="0"/>
      <w:divBdr>
        <w:top w:val="none" w:sz="0" w:space="0" w:color="auto"/>
        <w:left w:val="none" w:sz="0" w:space="0" w:color="auto"/>
        <w:bottom w:val="none" w:sz="0" w:space="0" w:color="auto"/>
        <w:right w:val="none" w:sz="0" w:space="0" w:color="auto"/>
      </w:divBdr>
    </w:div>
    <w:div w:id="1891065155">
      <w:bodyDiv w:val="1"/>
      <w:marLeft w:val="0"/>
      <w:marRight w:val="0"/>
      <w:marTop w:val="0"/>
      <w:marBottom w:val="0"/>
      <w:divBdr>
        <w:top w:val="none" w:sz="0" w:space="0" w:color="auto"/>
        <w:left w:val="none" w:sz="0" w:space="0" w:color="auto"/>
        <w:bottom w:val="none" w:sz="0" w:space="0" w:color="auto"/>
        <w:right w:val="none" w:sz="0" w:space="0" w:color="auto"/>
      </w:divBdr>
      <w:divsChild>
        <w:div w:id="281739447">
          <w:marLeft w:val="0"/>
          <w:marRight w:val="0"/>
          <w:marTop w:val="0"/>
          <w:marBottom w:val="0"/>
          <w:divBdr>
            <w:top w:val="none" w:sz="0" w:space="0" w:color="auto"/>
            <w:left w:val="none" w:sz="0" w:space="0" w:color="auto"/>
            <w:bottom w:val="none" w:sz="0" w:space="0" w:color="auto"/>
            <w:right w:val="none" w:sz="0" w:space="0" w:color="auto"/>
          </w:divBdr>
          <w:divsChild>
            <w:div w:id="1735542105">
              <w:marLeft w:val="0"/>
              <w:marRight w:val="0"/>
              <w:marTop w:val="0"/>
              <w:marBottom w:val="0"/>
              <w:divBdr>
                <w:top w:val="none" w:sz="0" w:space="0" w:color="auto"/>
                <w:left w:val="none" w:sz="0" w:space="0" w:color="auto"/>
                <w:bottom w:val="none" w:sz="0" w:space="0" w:color="auto"/>
                <w:right w:val="none" w:sz="0" w:space="0" w:color="auto"/>
              </w:divBdr>
              <w:divsChild>
                <w:div w:id="201945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419431">
      <w:bodyDiv w:val="1"/>
      <w:marLeft w:val="0"/>
      <w:marRight w:val="0"/>
      <w:marTop w:val="0"/>
      <w:marBottom w:val="0"/>
      <w:divBdr>
        <w:top w:val="none" w:sz="0" w:space="0" w:color="auto"/>
        <w:left w:val="none" w:sz="0" w:space="0" w:color="auto"/>
        <w:bottom w:val="none" w:sz="0" w:space="0" w:color="auto"/>
        <w:right w:val="none" w:sz="0" w:space="0" w:color="auto"/>
      </w:divBdr>
    </w:div>
    <w:div w:id="2058355699">
      <w:bodyDiv w:val="1"/>
      <w:marLeft w:val="0"/>
      <w:marRight w:val="0"/>
      <w:marTop w:val="0"/>
      <w:marBottom w:val="0"/>
      <w:divBdr>
        <w:top w:val="none" w:sz="0" w:space="0" w:color="auto"/>
        <w:left w:val="none" w:sz="0" w:space="0" w:color="auto"/>
        <w:bottom w:val="none" w:sz="0" w:space="0" w:color="auto"/>
        <w:right w:val="none" w:sz="0" w:space="0" w:color="auto"/>
      </w:divBdr>
      <w:divsChild>
        <w:div w:id="726147257">
          <w:marLeft w:val="0"/>
          <w:marRight w:val="0"/>
          <w:marTop w:val="0"/>
          <w:marBottom w:val="0"/>
          <w:divBdr>
            <w:top w:val="none" w:sz="0" w:space="0" w:color="auto"/>
            <w:left w:val="none" w:sz="0" w:space="0" w:color="auto"/>
            <w:bottom w:val="none" w:sz="0" w:space="0" w:color="auto"/>
            <w:right w:val="none" w:sz="0" w:space="0" w:color="auto"/>
          </w:divBdr>
          <w:divsChild>
            <w:div w:id="195277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books.openedition.org/pur/7399" TargetMode="External"/><Relationship Id="rId34" Type="http://schemas.openxmlformats.org/officeDocument/2006/relationships/hyperlink" Target="https://gallica.bnf.fr/ark:/12148/btv1b84005068" TargetMode="External"/><Relationship Id="rId42" Type="http://schemas.openxmlformats.org/officeDocument/2006/relationships/image" Target="media/image16.jpeg"/><Relationship Id="rId47" Type="http://schemas.openxmlformats.org/officeDocument/2006/relationships/image" Target="media/image19.jpeg"/><Relationship Id="rId50" Type="http://schemas.openxmlformats.org/officeDocument/2006/relationships/hyperlink" Target="https://www.treccani.it/enciclopedia/marino-cavalli_(Dizionario-Biografico)/?search=CAVALLI%2C%20Marino%2F" TargetMode="External"/><Relationship Id="rId55" Type="http://schemas.openxmlformats.org/officeDocument/2006/relationships/image" Target="media/image23.jpeg"/><Relationship Id="rId63" Type="http://schemas.openxmlformats.org/officeDocument/2006/relationships/image" Target="media/image27.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shs.cairn.info/revue-parlements-2017-1-page-31?lang=fr" TargetMode="External"/><Relationship Id="rId29" Type="http://schemas.openxmlformats.org/officeDocument/2006/relationships/image" Target="media/image10.jpeg"/><Relationship Id="rId11" Type="http://schemas.openxmlformats.org/officeDocument/2006/relationships/image" Target="media/image2.png"/><Relationship Id="rId24" Type="http://schemas.openxmlformats.org/officeDocument/2006/relationships/hyperlink" Target="https://books.openedition.org/enseditions/58411" TargetMode="External"/><Relationship Id="rId32" Type="http://schemas.openxmlformats.org/officeDocument/2006/relationships/image" Target="media/image11.png"/><Relationship Id="rId37" Type="http://schemas.openxmlformats.org/officeDocument/2006/relationships/image" Target="media/image13.png"/><Relationship Id="rId40" Type="http://schemas.openxmlformats.org/officeDocument/2006/relationships/image" Target="media/image15.png"/><Relationship Id="rId45" Type="http://schemas.openxmlformats.org/officeDocument/2006/relationships/image" Target="media/image18.jpeg"/><Relationship Id="rId53" Type="http://schemas.openxmlformats.org/officeDocument/2006/relationships/image" Target="media/image22.png"/><Relationship Id="rId58" Type="http://schemas.openxmlformats.org/officeDocument/2006/relationships/image" Target="media/image24.png"/><Relationship Id="rId66" Type="http://schemas.openxmlformats.org/officeDocument/2006/relationships/hyperlink" Target="https://shs.cairn.info/la-france-a-l-epoque-moderne--9782200626181?lang=fr" TargetMode="External"/><Relationship Id="rId5" Type="http://schemas.openxmlformats.org/officeDocument/2006/relationships/webSettings" Target="webSettings.xml"/><Relationship Id="rId61" Type="http://schemas.openxmlformats.org/officeDocument/2006/relationships/image" Target="media/image26.jpeg"/><Relationship Id="rId19" Type="http://schemas.openxmlformats.org/officeDocument/2006/relationships/hyperlink" Target="https://www.cnrtl.fr/definition/" TargetMode="External"/><Relationship Id="rId14" Type="http://schemas.openxmlformats.org/officeDocument/2006/relationships/image" Target="media/image4.emf"/><Relationship Id="rId22" Type="http://schemas.openxmlformats.org/officeDocument/2006/relationships/hyperlink" Target="https://gallica.bnf.fr/ark:/12148/bpt6k1130219/f12.item" TargetMode="External"/><Relationship Id="rId27" Type="http://schemas.openxmlformats.org/officeDocument/2006/relationships/hyperlink" Target="https://www.radiofrance.fr/franceculture/podcasts/questions-du-soir-l-idee/sorcieres-deconstruction-d-un-mythe-6734458" TargetMode="External"/><Relationship Id="rId30" Type="http://schemas.openxmlformats.org/officeDocument/2006/relationships/hyperlink" Target="https://cour-de-france.fr/article266.html" TargetMode="External"/><Relationship Id="rId35" Type="http://schemas.openxmlformats.org/officeDocument/2006/relationships/image" Target="media/image12.jpeg"/><Relationship Id="rId43" Type="http://schemas.openxmlformats.org/officeDocument/2006/relationships/image" Target="media/image17.jpeg"/><Relationship Id="rId48" Type="http://schemas.openxmlformats.org/officeDocument/2006/relationships/hyperlink" Target="https://sharedocs.huma-num.fr/wl/?id=YzGQlszrGBmq9fA1BuaQ2iV4GgzPDCBr&amp;fmode=open" TargetMode="External"/><Relationship Id="rId56" Type="http://schemas.openxmlformats.org/officeDocument/2006/relationships/hyperlink" Target="https://books.openedition.org/pur/119853" TargetMode="External"/><Relationship Id="rId64" Type="http://schemas.openxmlformats.org/officeDocument/2006/relationships/hyperlink" Target="https://www.persee.fr/doc/crai_0065-0536_2018_num_162_3_96593" TargetMode="External"/><Relationship Id="rId8" Type="http://schemas.openxmlformats.org/officeDocument/2006/relationships/footer" Target="footer1.xml"/><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hyperlink" Target="https://archives-numerisees.loire-atlantique.fr/v2/ad44/visualiseur/registre.html?id=440189730" TargetMode="External"/><Relationship Id="rId17" Type="http://schemas.openxmlformats.org/officeDocument/2006/relationships/hyperlink" Target="https://www.college-de-france.fr/fr/agenda/cours/la-peste-noire" TargetMode="External"/><Relationship Id="rId25" Type="http://schemas.openxmlformats.org/officeDocument/2006/relationships/hyperlink" Target="https://laviedesidees.fr/Laura-Tatoueix-Defaire-son-fruit" TargetMode="External"/><Relationship Id="rId33" Type="http://schemas.microsoft.com/office/2007/relationships/hdphoto" Target="media/hdphoto1.wdp"/><Relationship Id="rId38" Type="http://schemas.openxmlformats.org/officeDocument/2006/relationships/hyperlink" Target="https://laviedesidees.fr/Jeremie-Foa-Survivre" TargetMode="External"/><Relationship Id="rId46" Type="http://schemas.openxmlformats.org/officeDocument/2006/relationships/hyperlink" Target="https://www.youtube.com/watch?v=DaTUrAcA06Y" TargetMode="External"/><Relationship Id="rId59" Type="http://schemas.openxmlformats.org/officeDocument/2006/relationships/image" Target="media/image25.png"/><Relationship Id="rId67"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hyperlink" Target="https://www.mcba.ch/collection/le-massacre-de-la-saint-barthelemy-vers-1572-1584/" TargetMode="External"/><Relationship Id="rId54" Type="http://schemas.openxmlformats.org/officeDocument/2006/relationships/hyperlink" Target="https://www.deepl.com/fr/translator" TargetMode="External"/><Relationship Id="rId62" Type="http://schemas.openxmlformats.org/officeDocument/2006/relationships/hyperlink" Target="https://ehne.fr/fr/eduscol/seconde-g&#233;n&#233;rale/xve-xvie-si&#232;cles-un-nouveau-rapport-au-monde-un-temps-de-mutation-intellectuelle/renaissance-humanisme-et-r&#233;formes-religieuses-les-mutations-de-l&#8217;europe/1517-luther-ouvre-le-temps-des-r&#233;form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hs.cairn.info/revue-annales-de-demographie-historique-2017-2-page-15?lang=fr" TargetMode="External"/><Relationship Id="rId23" Type="http://schemas.openxmlformats.org/officeDocument/2006/relationships/image" Target="media/image7.jpeg"/><Relationship Id="rId28" Type="http://schemas.openxmlformats.org/officeDocument/2006/relationships/image" Target="media/image9.png"/><Relationship Id="rId36" Type="http://schemas.openxmlformats.org/officeDocument/2006/relationships/hyperlink" Target="https://sharedocs.huma-num.fr/wl/?id=c4Sn8gPziujasGVb0mk5IdwpEwDvIVbG&amp;fmode=open" TargetMode="External"/><Relationship Id="rId49" Type="http://schemas.openxmlformats.org/officeDocument/2006/relationships/image" Target="media/image20.png"/><Relationship Id="rId57" Type="http://schemas.openxmlformats.org/officeDocument/2006/relationships/hyperlink" Target="https://gallica.bnf.fr/ark:/12148/bpt6k815874/" TargetMode="External"/><Relationship Id="rId10" Type="http://schemas.openxmlformats.org/officeDocument/2006/relationships/image" Target="media/image1.jpeg"/><Relationship Id="rId31" Type="http://schemas.openxmlformats.org/officeDocument/2006/relationships/hyperlink" Target="https://journals.openedition.org/crcv/12083" TargetMode="External"/><Relationship Id="rId44" Type="http://schemas.openxmlformats.org/officeDocument/2006/relationships/hyperlink" Target="https://histoire-image.org/etudes/massacre-saint-barthelemy" TargetMode="External"/><Relationship Id="rId52" Type="http://schemas.openxmlformats.org/officeDocument/2006/relationships/hyperlink" Target="https://sharedocs.huma-num.fr/wl/?id=bdO9pYmfCxsz8k6MptZgIqzxRbSsxsxo&amp;fmode=open" TargetMode="External"/><Relationship Id="rId60" Type="http://schemas.openxmlformats.org/officeDocument/2006/relationships/hyperlink" Target="https://sharedocs.huma-num.fr/wl/?id=hNBezGXGFxdObSCEjbtaEZ0mBwWgEggT&amp;mode=list" TargetMode="External"/><Relationship Id="rId65" Type="http://schemas.openxmlformats.org/officeDocument/2006/relationships/hyperlink" Target="https://shs.cairn.info/la-france-au-16e-siecle--9782200264024?lang=fr"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1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78333C-4FC5-FF48-9EFC-C2C8F37BEC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Pages>
  <Words>19731</Words>
  <Characters>108522</Characters>
  <Application>Microsoft Office Word</Application>
  <DocSecurity>0</DocSecurity>
  <Lines>904</Lines>
  <Paragraphs>255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127998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Nevejans Pierre</dc:creator>
  <cp:keywords/>
  <dc:description/>
  <cp:lastModifiedBy>andré loez</cp:lastModifiedBy>
  <cp:revision>9</cp:revision>
  <dcterms:created xsi:type="dcterms:W3CDTF">2024-12-19T20:29:00Z</dcterms:created>
  <dcterms:modified xsi:type="dcterms:W3CDTF">2025-07-02T10:22:00Z</dcterms:modified>
</cp:coreProperties>
</file>