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3728F" w14:textId="77777777" w:rsidR="00715698" w:rsidRPr="00607133" w:rsidRDefault="00715698" w:rsidP="00430C6F">
      <w:pPr>
        <w:pStyle w:val="Titre"/>
        <w:rPr>
          <w:rFonts w:cs="Times New Roman"/>
        </w:rPr>
        <w:sectPr w:rsidR="00715698" w:rsidRPr="00607133" w:rsidSect="008D577A">
          <w:pgSz w:w="11905" w:h="16837"/>
          <w:pgMar w:top="857" w:right="1417" w:bottom="1291" w:left="1417" w:header="708" w:footer="708" w:gutter="0"/>
          <w:cols w:space="708"/>
          <w:docGrid w:linePitch="360"/>
        </w:sectPr>
      </w:pPr>
    </w:p>
    <w:p w14:paraId="6FADB4A3" w14:textId="1CDF6EBF" w:rsidR="00A401D7" w:rsidRDefault="00A401D7">
      <w:pPr>
        <w:spacing w:before="0" w:after="0" w:line="240" w:lineRule="auto"/>
        <w:ind w:firstLine="0"/>
        <w:jc w:val="left"/>
        <w:rPr>
          <w:rFonts w:eastAsiaTheme="majorEastAsia" w:cs="Times New Roman"/>
          <w:b/>
          <w:spacing w:val="-10"/>
          <w:kern w:val="28"/>
          <w:sz w:val="26"/>
          <w:szCs w:val="56"/>
        </w:rPr>
      </w:pPr>
      <w:r>
        <w:rPr>
          <w:rFonts w:eastAsiaTheme="majorEastAsia" w:cs="Times New Roman"/>
          <w:b/>
          <w:noProof/>
          <w:spacing w:val="-10"/>
          <w:kern w:val="28"/>
          <w:sz w:val="26"/>
          <w:szCs w:val="56"/>
        </w:rPr>
        <w:drawing>
          <wp:inline distT="0" distB="0" distL="0" distR="0" wp14:anchorId="40DBD8D5" wp14:editId="6ACB85F8">
            <wp:extent cx="5760085" cy="8320405"/>
            <wp:effectExtent l="0" t="0" r="0" b="4445"/>
            <wp:docPr id="1200628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8444" name="Image 1200628444"/>
                    <pic:cNvPicPr/>
                  </pic:nvPicPr>
                  <pic:blipFill>
                    <a:blip r:embed="rId8">
                      <a:extLst>
                        <a:ext uri="{28A0092B-C50C-407E-A947-70E740481C1C}">
                          <a14:useLocalDpi xmlns:a14="http://schemas.microsoft.com/office/drawing/2010/main" val="0"/>
                        </a:ext>
                      </a:extLst>
                    </a:blip>
                    <a:stretch>
                      <a:fillRect/>
                    </a:stretch>
                  </pic:blipFill>
                  <pic:spPr>
                    <a:xfrm>
                      <a:off x="0" y="0"/>
                      <a:ext cx="5760085" cy="8320405"/>
                    </a:xfrm>
                    <a:prstGeom prst="rect">
                      <a:avLst/>
                    </a:prstGeom>
                  </pic:spPr>
                </pic:pic>
              </a:graphicData>
            </a:graphic>
          </wp:inline>
        </w:drawing>
      </w:r>
    </w:p>
    <w:p w14:paraId="51F69ECB" w14:textId="77777777" w:rsidR="00A401D7" w:rsidRDefault="00A401D7" w:rsidP="004B46BE">
      <w:pPr>
        <w:pStyle w:val="Titre"/>
        <w:rPr>
          <w:rFonts w:cs="Times New Roman"/>
        </w:rPr>
      </w:pPr>
    </w:p>
    <w:p w14:paraId="384CC98A" w14:textId="77777777" w:rsidR="00A401D7" w:rsidRDefault="00A401D7" w:rsidP="004B46BE">
      <w:pPr>
        <w:pStyle w:val="Titre"/>
        <w:rPr>
          <w:rFonts w:cs="Times New Roman"/>
        </w:rPr>
      </w:pPr>
    </w:p>
    <w:p w14:paraId="6C1E9F0E" w14:textId="7D36BF10" w:rsidR="00EC6B4C" w:rsidRPr="00607133" w:rsidRDefault="00430C6F" w:rsidP="004B46BE">
      <w:pPr>
        <w:pStyle w:val="Titre"/>
        <w:rPr>
          <w:rFonts w:cs="Times New Roman"/>
        </w:rPr>
      </w:pPr>
      <w:r w:rsidRPr="00607133">
        <w:rPr>
          <w:rFonts w:cs="Times New Roman"/>
        </w:rPr>
        <w:lastRenderedPageBreak/>
        <w:t xml:space="preserve">Programme et calendrier du semestre </w:t>
      </w:r>
    </w:p>
    <w:tbl>
      <w:tblPr>
        <w:tblStyle w:val="Grilledutableau"/>
        <w:tblW w:w="9351" w:type="dxa"/>
        <w:jc w:val="center"/>
        <w:tblLook w:val="04A0" w:firstRow="1" w:lastRow="0" w:firstColumn="1" w:lastColumn="0" w:noHBand="0" w:noVBand="1"/>
      </w:tblPr>
      <w:tblGrid>
        <w:gridCol w:w="846"/>
        <w:gridCol w:w="8505"/>
      </w:tblGrid>
      <w:tr w:rsidR="00430C6F" w:rsidRPr="00607133" w14:paraId="541C483C" w14:textId="77777777" w:rsidTr="0039575E">
        <w:trPr>
          <w:jc w:val="center"/>
        </w:trPr>
        <w:tc>
          <w:tcPr>
            <w:tcW w:w="846" w:type="dxa"/>
            <w:shd w:val="clear" w:color="auto" w:fill="F2F2F2" w:themeFill="background1" w:themeFillShade="F2"/>
            <w:vAlign w:val="center"/>
          </w:tcPr>
          <w:p w14:paraId="6DC8C462" w14:textId="77777777" w:rsidR="00430C6F" w:rsidRPr="00607133" w:rsidRDefault="00BB4E08" w:rsidP="000029E6">
            <w:pPr>
              <w:pStyle w:val="Notes"/>
              <w:jc w:val="center"/>
              <w:rPr>
                <w:rFonts w:cs="Times New Roman"/>
                <w:i/>
                <w:sz w:val="22"/>
                <w:szCs w:val="22"/>
              </w:rPr>
            </w:pPr>
            <w:r w:rsidRPr="00607133">
              <w:rPr>
                <w:rFonts w:cs="Times New Roman"/>
                <w:i/>
                <w:sz w:val="22"/>
                <w:szCs w:val="22"/>
              </w:rPr>
              <w:t>17.01</w:t>
            </w:r>
          </w:p>
        </w:tc>
        <w:tc>
          <w:tcPr>
            <w:tcW w:w="8505" w:type="dxa"/>
          </w:tcPr>
          <w:p w14:paraId="4A22DDCF" w14:textId="77777777" w:rsidR="00430C6F" w:rsidRPr="00607133" w:rsidRDefault="00A729E4" w:rsidP="00A729E4">
            <w:pPr>
              <w:pStyle w:val="Notes"/>
              <w:spacing w:before="80"/>
              <w:jc w:val="left"/>
              <w:rPr>
                <w:rFonts w:cs="Times New Roman"/>
                <w:b/>
                <w:sz w:val="22"/>
                <w:szCs w:val="22"/>
              </w:rPr>
            </w:pPr>
            <w:r w:rsidRPr="00607133">
              <w:rPr>
                <w:rFonts w:cs="Times New Roman"/>
                <w:sz w:val="22"/>
                <w:szCs w:val="22"/>
              </w:rPr>
              <w:t>Présentation du syllabus, du fonctionnement du cours et des attendus</w:t>
            </w:r>
            <w:r w:rsidRPr="00607133">
              <w:rPr>
                <w:rFonts w:cs="Times New Roman"/>
                <w:b/>
                <w:sz w:val="22"/>
                <w:szCs w:val="22"/>
              </w:rPr>
              <w:t xml:space="preserve"> </w:t>
            </w:r>
            <w:r w:rsidRPr="00607133">
              <w:rPr>
                <w:rFonts w:cs="Times New Roman"/>
                <w:b/>
                <w:sz w:val="22"/>
                <w:szCs w:val="22"/>
              </w:rPr>
              <w:br/>
            </w:r>
            <w:r w:rsidR="00430C6F" w:rsidRPr="0007453F">
              <w:rPr>
                <w:rFonts w:cs="Times New Roman"/>
                <w:b/>
                <w:sz w:val="24"/>
                <w:szCs w:val="22"/>
              </w:rPr>
              <w:t xml:space="preserve">Séance 1. </w:t>
            </w:r>
            <w:r w:rsidR="004E688C" w:rsidRPr="0007453F">
              <w:rPr>
                <w:rFonts w:cs="Times New Roman"/>
                <w:b/>
                <w:sz w:val="24"/>
                <w:szCs w:val="22"/>
              </w:rPr>
              <w:t>Versailles, symbole de l’absolutisme ?</w:t>
            </w:r>
            <w:r w:rsidR="00BC5D4C" w:rsidRPr="00607133">
              <w:rPr>
                <w:rFonts w:cs="Times New Roman"/>
                <w:sz w:val="22"/>
                <w:szCs w:val="22"/>
              </w:rPr>
              <w:br/>
            </w:r>
            <w:r w:rsidR="00D61E1C">
              <w:rPr>
                <w:rFonts w:cs="Times New Roman"/>
                <w:sz w:val="22"/>
                <w:szCs w:val="22"/>
              </w:rPr>
              <w:t>Source</w:t>
            </w:r>
            <w:r w:rsidR="00430C6F" w:rsidRPr="00607133">
              <w:rPr>
                <w:rFonts w:cs="Times New Roman"/>
                <w:sz w:val="22"/>
                <w:szCs w:val="22"/>
              </w:rPr>
              <w:t xml:space="preserve"> : </w:t>
            </w:r>
            <w:r w:rsidR="00BC5D4C" w:rsidRPr="00607133">
              <w:rPr>
                <w:rFonts w:cs="Times New Roman"/>
                <w:sz w:val="22"/>
                <w:szCs w:val="22"/>
              </w:rPr>
              <w:t>plan de la ville de Versailles (168</w:t>
            </w:r>
            <w:r w:rsidR="004B46BE" w:rsidRPr="00607133">
              <w:rPr>
                <w:rFonts w:cs="Times New Roman"/>
                <w:sz w:val="22"/>
                <w:szCs w:val="22"/>
              </w:rPr>
              <w:t>3</w:t>
            </w:r>
            <w:r w:rsidR="00BC5D4C" w:rsidRPr="00607133">
              <w:rPr>
                <w:rFonts w:cs="Times New Roman"/>
                <w:sz w:val="22"/>
                <w:szCs w:val="22"/>
              </w:rPr>
              <w:t xml:space="preserve">) </w:t>
            </w:r>
          </w:p>
          <w:p w14:paraId="36A431EE" w14:textId="77777777" w:rsidR="00430C6F" w:rsidRPr="00607133" w:rsidRDefault="00430C6F" w:rsidP="000029E6">
            <w:pPr>
              <w:pStyle w:val="Notes"/>
              <w:spacing w:after="80"/>
              <w:rPr>
                <w:rFonts w:cs="Times New Roman"/>
                <w:sz w:val="22"/>
                <w:szCs w:val="22"/>
              </w:rPr>
            </w:pPr>
            <w:r w:rsidRPr="00607133">
              <w:rPr>
                <w:rFonts w:cs="Times New Roman"/>
                <w:sz w:val="22"/>
                <w:szCs w:val="22"/>
              </w:rPr>
              <w:t xml:space="preserve">Objectif de la séance : </w:t>
            </w:r>
            <w:r w:rsidR="00EC6B4C" w:rsidRPr="00607133">
              <w:rPr>
                <w:rFonts w:cs="Times New Roman"/>
                <w:sz w:val="22"/>
                <w:szCs w:val="22"/>
              </w:rPr>
              <w:t xml:space="preserve">apprendre à questionner une source historique </w:t>
            </w:r>
          </w:p>
        </w:tc>
      </w:tr>
      <w:tr w:rsidR="00A2396F" w:rsidRPr="00607133" w14:paraId="1E48259D" w14:textId="77777777" w:rsidTr="0039575E">
        <w:trPr>
          <w:jc w:val="center"/>
        </w:trPr>
        <w:tc>
          <w:tcPr>
            <w:tcW w:w="846" w:type="dxa"/>
            <w:shd w:val="clear" w:color="auto" w:fill="F2F2F2" w:themeFill="background1" w:themeFillShade="F2"/>
            <w:vAlign w:val="center"/>
          </w:tcPr>
          <w:p w14:paraId="5C0BF84B" w14:textId="77777777" w:rsidR="00A2396F" w:rsidRPr="00607133" w:rsidRDefault="00BB4E08" w:rsidP="000029E6">
            <w:pPr>
              <w:pStyle w:val="Notes"/>
              <w:jc w:val="center"/>
              <w:rPr>
                <w:rFonts w:cs="Times New Roman"/>
                <w:i/>
                <w:sz w:val="22"/>
                <w:szCs w:val="22"/>
              </w:rPr>
            </w:pPr>
            <w:r w:rsidRPr="00607133">
              <w:rPr>
                <w:rFonts w:cs="Times New Roman"/>
                <w:i/>
                <w:sz w:val="22"/>
                <w:szCs w:val="22"/>
              </w:rPr>
              <w:t>24.01</w:t>
            </w:r>
          </w:p>
        </w:tc>
        <w:tc>
          <w:tcPr>
            <w:tcW w:w="8505" w:type="dxa"/>
          </w:tcPr>
          <w:p w14:paraId="52412E8F" w14:textId="77777777" w:rsidR="008D7FD7" w:rsidRPr="0007453F" w:rsidRDefault="00A2396F" w:rsidP="00960E5C">
            <w:pPr>
              <w:pStyle w:val="Notes"/>
              <w:spacing w:before="80"/>
              <w:jc w:val="left"/>
              <w:rPr>
                <w:rFonts w:cs="Times New Roman"/>
                <w:b/>
                <w:sz w:val="24"/>
                <w:szCs w:val="22"/>
              </w:rPr>
            </w:pPr>
            <w:r w:rsidRPr="0007453F">
              <w:rPr>
                <w:rFonts w:cs="Times New Roman"/>
                <w:b/>
                <w:sz w:val="24"/>
                <w:szCs w:val="22"/>
              </w:rPr>
              <w:t xml:space="preserve">Séance 2. </w:t>
            </w:r>
            <w:r w:rsidR="00960E5C">
              <w:rPr>
                <w:rFonts w:cs="Times New Roman"/>
                <w:b/>
                <w:sz w:val="24"/>
                <w:szCs w:val="22"/>
              </w:rPr>
              <w:t>Au service de sa majesté</w:t>
            </w:r>
            <w:r w:rsidR="00960E5C" w:rsidRPr="00960E5C">
              <w:rPr>
                <w:rFonts w:cs="Times New Roman"/>
                <w:b/>
                <w:sz w:val="24"/>
                <w:szCs w:val="22"/>
              </w:rPr>
              <w:t xml:space="preserve"> : </w:t>
            </w:r>
            <w:r w:rsidR="00960E5C">
              <w:rPr>
                <w:rFonts w:cs="Times New Roman"/>
                <w:b/>
                <w:sz w:val="24"/>
                <w:szCs w:val="22"/>
              </w:rPr>
              <w:br/>
            </w:r>
            <w:r w:rsidR="00960E5C" w:rsidRPr="00960E5C">
              <w:rPr>
                <w:rFonts w:cs="Times New Roman"/>
                <w:b/>
                <w:sz w:val="24"/>
                <w:szCs w:val="22"/>
              </w:rPr>
              <w:t xml:space="preserve">la guerre de course et ses récompenses à la fin du XVIIe siècle  </w:t>
            </w:r>
          </w:p>
          <w:p w14:paraId="29A41192" w14:textId="77777777" w:rsidR="008D7FD7" w:rsidRPr="00607133" w:rsidRDefault="00D61E1C" w:rsidP="008D7FD7">
            <w:pPr>
              <w:pStyle w:val="Notes"/>
              <w:rPr>
                <w:rFonts w:cs="Times New Roman"/>
                <w:sz w:val="22"/>
                <w:szCs w:val="22"/>
              </w:rPr>
            </w:pPr>
            <w:r>
              <w:rPr>
                <w:rFonts w:cs="Times New Roman"/>
                <w:sz w:val="22"/>
                <w:szCs w:val="22"/>
              </w:rPr>
              <w:t>Source</w:t>
            </w:r>
            <w:r w:rsidR="008D7FD7" w:rsidRPr="00607133">
              <w:rPr>
                <w:rFonts w:cs="Times New Roman"/>
                <w:sz w:val="22"/>
                <w:szCs w:val="22"/>
              </w:rPr>
              <w:t xml:space="preserve"> : lettres de noblesse en faveur de Jean Bart (1694) </w:t>
            </w:r>
          </w:p>
          <w:p w14:paraId="1642DDEA" w14:textId="77777777" w:rsidR="00A2396F" w:rsidRPr="00607133" w:rsidRDefault="008D7FD7" w:rsidP="008D7FD7">
            <w:pPr>
              <w:pStyle w:val="Notes"/>
              <w:spacing w:after="80"/>
              <w:rPr>
                <w:rFonts w:cs="Times New Roman"/>
                <w:sz w:val="22"/>
                <w:szCs w:val="22"/>
              </w:rPr>
            </w:pPr>
            <w:r w:rsidRPr="00607133">
              <w:rPr>
                <w:rFonts w:cs="Times New Roman"/>
                <w:sz w:val="22"/>
                <w:szCs w:val="22"/>
              </w:rPr>
              <w:t>Objectif de la séance : commentaire linéaire</w:t>
            </w:r>
          </w:p>
        </w:tc>
      </w:tr>
      <w:tr w:rsidR="00430C6F" w:rsidRPr="00607133" w14:paraId="06E5686C" w14:textId="77777777" w:rsidTr="0039575E">
        <w:trPr>
          <w:jc w:val="center"/>
        </w:trPr>
        <w:tc>
          <w:tcPr>
            <w:tcW w:w="846" w:type="dxa"/>
            <w:shd w:val="clear" w:color="auto" w:fill="F2F2F2" w:themeFill="background1" w:themeFillShade="F2"/>
            <w:vAlign w:val="center"/>
          </w:tcPr>
          <w:p w14:paraId="50D7B613" w14:textId="77777777" w:rsidR="00430C6F" w:rsidRPr="00607133" w:rsidRDefault="00BB4E08" w:rsidP="000029E6">
            <w:pPr>
              <w:pStyle w:val="Notes"/>
              <w:jc w:val="center"/>
              <w:rPr>
                <w:rFonts w:cs="Times New Roman"/>
                <w:i/>
                <w:sz w:val="22"/>
                <w:szCs w:val="22"/>
              </w:rPr>
            </w:pPr>
            <w:r w:rsidRPr="00607133">
              <w:rPr>
                <w:rFonts w:cs="Times New Roman"/>
                <w:i/>
                <w:sz w:val="22"/>
                <w:szCs w:val="22"/>
              </w:rPr>
              <w:t>31.01</w:t>
            </w:r>
          </w:p>
        </w:tc>
        <w:tc>
          <w:tcPr>
            <w:tcW w:w="8505" w:type="dxa"/>
          </w:tcPr>
          <w:p w14:paraId="7E70E006" w14:textId="77777777" w:rsidR="008D7FD7" w:rsidRPr="0007453F" w:rsidRDefault="00937AEC" w:rsidP="008D7FD7">
            <w:pPr>
              <w:pStyle w:val="Notes"/>
              <w:spacing w:before="80"/>
              <w:rPr>
                <w:rFonts w:cs="Times New Roman"/>
                <w:b/>
                <w:sz w:val="24"/>
                <w:szCs w:val="22"/>
              </w:rPr>
            </w:pPr>
            <w:r w:rsidRPr="0007453F">
              <w:rPr>
                <w:rFonts w:cs="Times New Roman"/>
                <w:b/>
                <w:sz w:val="24"/>
                <w:szCs w:val="22"/>
              </w:rPr>
              <w:t xml:space="preserve">Séance 3. </w:t>
            </w:r>
            <w:r w:rsidR="008D7FD7" w:rsidRPr="0007453F">
              <w:rPr>
                <w:rFonts w:cs="Times New Roman"/>
                <w:b/>
                <w:sz w:val="24"/>
                <w:szCs w:val="22"/>
              </w:rPr>
              <w:t xml:space="preserve">La culture pamphlétaire dans la France d’Ancien Régime </w:t>
            </w:r>
          </w:p>
          <w:p w14:paraId="4B4F4050" w14:textId="77777777" w:rsidR="008D7FD7" w:rsidRPr="00607133" w:rsidRDefault="00D61E1C" w:rsidP="008D7FD7">
            <w:pPr>
              <w:pStyle w:val="Notes"/>
              <w:jc w:val="left"/>
              <w:rPr>
                <w:rFonts w:cs="Times New Roman"/>
                <w:sz w:val="22"/>
                <w:szCs w:val="22"/>
              </w:rPr>
            </w:pPr>
            <w:r>
              <w:rPr>
                <w:rFonts w:cs="Times New Roman"/>
                <w:sz w:val="22"/>
                <w:szCs w:val="22"/>
              </w:rPr>
              <w:t>Source</w:t>
            </w:r>
            <w:r w:rsidR="008D7FD7" w:rsidRPr="00607133">
              <w:rPr>
                <w:rFonts w:cs="Times New Roman"/>
                <w:sz w:val="22"/>
                <w:szCs w:val="22"/>
              </w:rPr>
              <w:t> : mazarinade de Cyrano de Bergerac (1649)</w:t>
            </w:r>
          </w:p>
          <w:p w14:paraId="3A6319E6" w14:textId="77777777" w:rsidR="00430C6F" w:rsidRPr="00607133" w:rsidRDefault="008D7FD7" w:rsidP="00A729E4">
            <w:pPr>
              <w:pStyle w:val="Notes"/>
              <w:spacing w:after="80"/>
              <w:jc w:val="left"/>
              <w:rPr>
                <w:rFonts w:cs="Times New Roman"/>
                <w:b/>
                <w:sz w:val="22"/>
                <w:szCs w:val="22"/>
              </w:rPr>
            </w:pPr>
            <w:r w:rsidRPr="00607133">
              <w:rPr>
                <w:rFonts w:cs="Times New Roman"/>
                <w:sz w:val="22"/>
                <w:szCs w:val="22"/>
              </w:rPr>
              <w:t>Objectif de la séance : construire et rédiger une introduction</w:t>
            </w:r>
          </w:p>
        </w:tc>
      </w:tr>
      <w:tr w:rsidR="00430C6F" w:rsidRPr="00607133" w14:paraId="175CFAFC" w14:textId="77777777" w:rsidTr="0039575E">
        <w:trPr>
          <w:jc w:val="center"/>
        </w:trPr>
        <w:tc>
          <w:tcPr>
            <w:tcW w:w="846" w:type="dxa"/>
            <w:shd w:val="clear" w:color="auto" w:fill="F2F2F2" w:themeFill="background1" w:themeFillShade="F2"/>
            <w:vAlign w:val="center"/>
          </w:tcPr>
          <w:p w14:paraId="29E39EE0" w14:textId="77777777" w:rsidR="00430C6F" w:rsidRPr="00607133" w:rsidRDefault="00BB4E08" w:rsidP="000029E6">
            <w:pPr>
              <w:pStyle w:val="Notes"/>
              <w:jc w:val="center"/>
              <w:rPr>
                <w:rFonts w:cs="Times New Roman"/>
                <w:i/>
                <w:sz w:val="22"/>
                <w:szCs w:val="22"/>
              </w:rPr>
            </w:pPr>
            <w:r w:rsidRPr="00607133">
              <w:rPr>
                <w:rFonts w:cs="Times New Roman"/>
                <w:i/>
                <w:sz w:val="22"/>
                <w:szCs w:val="22"/>
              </w:rPr>
              <w:t>07.02</w:t>
            </w:r>
          </w:p>
        </w:tc>
        <w:tc>
          <w:tcPr>
            <w:tcW w:w="8505" w:type="dxa"/>
          </w:tcPr>
          <w:p w14:paraId="1C52AE3A" w14:textId="77777777" w:rsidR="00EC4F8F" w:rsidRPr="0007453F" w:rsidRDefault="00EC4F8F" w:rsidP="00EC4F8F">
            <w:pPr>
              <w:pStyle w:val="Notes"/>
              <w:spacing w:before="80"/>
              <w:rPr>
                <w:rFonts w:cs="Times New Roman"/>
                <w:b/>
                <w:sz w:val="24"/>
                <w:szCs w:val="22"/>
              </w:rPr>
            </w:pPr>
            <w:r w:rsidRPr="0007453F">
              <w:rPr>
                <w:rFonts w:cs="Times New Roman"/>
                <w:b/>
                <w:sz w:val="24"/>
                <w:szCs w:val="22"/>
              </w:rPr>
              <w:t xml:space="preserve">Séance 4. Solidarités et assistances (1/2) </w:t>
            </w:r>
          </w:p>
          <w:p w14:paraId="2AF2990D" w14:textId="77777777" w:rsidR="00EC4F8F" w:rsidRPr="00607133" w:rsidRDefault="00D61E1C" w:rsidP="00EC4F8F">
            <w:pPr>
              <w:pStyle w:val="Notes"/>
              <w:rPr>
                <w:rFonts w:cs="Times New Roman"/>
                <w:sz w:val="22"/>
                <w:szCs w:val="22"/>
              </w:rPr>
            </w:pPr>
            <w:r>
              <w:rPr>
                <w:rFonts w:cs="Times New Roman"/>
                <w:sz w:val="22"/>
                <w:szCs w:val="22"/>
              </w:rPr>
              <w:t>Source</w:t>
            </w:r>
            <w:r w:rsidR="00EC4F8F" w:rsidRPr="00607133">
              <w:rPr>
                <w:rFonts w:cs="Times New Roman"/>
                <w:sz w:val="22"/>
                <w:szCs w:val="22"/>
              </w:rPr>
              <w:t xml:space="preserve"> : déclaration royale du 18 juillet 1724 concernant les mendiants et vagabonds </w:t>
            </w:r>
          </w:p>
          <w:p w14:paraId="37E6411E" w14:textId="77777777" w:rsidR="00EC4F8F" w:rsidRPr="00607133" w:rsidRDefault="00EC4F8F" w:rsidP="00EC4F8F">
            <w:pPr>
              <w:pStyle w:val="Notes"/>
              <w:spacing w:after="80"/>
              <w:jc w:val="left"/>
              <w:rPr>
                <w:rFonts w:cs="Times New Roman"/>
                <w:sz w:val="22"/>
                <w:szCs w:val="22"/>
              </w:rPr>
            </w:pPr>
            <w:r w:rsidRPr="00607133">
              <w:rPr>
                <w:rFonts w:cs="Times New Roman"/>
                <w:sz w:val="22"/>
                <w:szCs w:val="22"/>
              </w:rPr>
              <w:t xml:space="preserve">Objectif de la séance : construction </w:t>
            </w:r>
            <w:r w:rsidR="000F7A4D" w:rsidRPr="00607133">
              <w:rPr>
                <w:rFonts w:cs="Times New Roman"/>
                <w:sz w:val="22"/>
                <w:szCs w:val="22"/>
              </w:rPr>
              <w:t>d’une problématique et d’un plan</w:t>
            </w:r>
            <w:r w:rsidRPr="00607133">
              <w:rPr>
                <w:rFonts w:cs="Times New Roman"/>
                <w:sz w:val="22"/>
                <w:szCs w:val="22"/>
              </w:rPr>
              <w:t xml:space="preserve"> </w:t>
            </w:r>
            <w:r w:rsidRPr="00607133">
              <w:rPr>
                <w:rFonts w:cs="Times New Roman"/>
                <w:sz w:val="22"/>
                <w:szCs w:val="22"/>
              </w:rPr>
              <w:br/>
            </w:r>
            <w:r w:rsidRPr="00607133">
              <w:rPr>
                <w:rFonts w:cs="Times New Roman"/>
                <w:sz w:val="22"/>
                <w:szCs w:val="22"/>
                <w:u w:val="single"/>
              </w:rPr>
              <w:t>Contrôle de connaissances</w:t>
            </w:r>
            <w:r w:rsidRPr="00607133">
              <w:rPr>
                <w:rFonts w:cs="Times New Roman"/>
                <w:sz w:val="22"/>
                <w:szCs w:val="22"/>
              </w:rPr>
              <w:t xml:space="preserve"> (séances 1, 2 et 3 du cours magistral)</w:t>
            </w:r>
          </w:p>
        </w:tc>
      </w:tr>
      <w:tr w:rsidR="00430C6F" w:rsidRPr="00607133" w14:paraId="12544C2C" w14:textId="77777777" w:rsidTr="0039575E">
        <w:trPr>
          <w:jc w:val="center"/>
        </w:trPr>
        <w:tc>
          <w:tcPr>
            <w:tcW w:w="846" w:type="dxa"/>
            <w:shd w:val="clear" w:color="auto" w:fill="F2F2F2" w:themeFill="background1" w:themeFillShade="F2"/>
            <w:vAlign w:val="center"/>
          </w:tcPr>
          <w:p w14:paraId="65155C47" w14:textId="77777777" w:rsidR="00430C6F" w:rsidRPr="00607133" w:rsidRDefault="00BB4E08" w:rsidP="000029E6">
            <w:pPr>
              <w:pStyle w:val="Notes"/>
              <w:jc w:val="center"/>
              <w:rPr>
                <w:rFonts w:cs="Times New Roman"/>
                <w:i/>
                <w:sz w:val="22"/>
                <w:szCs w:val="22"/>
              </w:rPr>
            </w:pPr>
            <w:r w:rsidRPr="00607133">
              <w:rPr>
                <w:rFonts w:cs="Times New Roman"/>
                <w:i/>
                <w:sz w:val="22"/>
                <w:szCs w:val="22"/>
              </w:rPr>
              <w:t>14.02</w:t>
            </w:r>
          </w:p>
        </w:tc>
        <w:tc>
          <w:tcPr>
            <w:tcW w:w="8505" w:type="dxa"/>
          </w:tcPr>
          <w:p w14:paraId="7F81FB9C" w14:textId="77777777" w:rsidR="00EC4F8F" w:rsidRPr="0007453F" w:rsidRDefault="00EC4F8F" w:rsidP="00EC4F8F">
            <w:pPr>
              <w:pStyle w:val="Notes"/>
              <w:spacing w:before="80"/>
              <w:rPr>
                <w:rFonts w:cs="Times New Roman"/>
                <w:b/>
                <w:sz w:val="24"/>
                <w:szCs w:val="22"/>
              </w:rPr>
            </w:pPr>
            <w:r w:rsidRPr="0007453F">
              <w:rPr>
                <w:rFonts w:cs="Times New Roman"/>
                <w:b/>
                <w:sz w:val="24"/>
                <w:szCs w:val="22"/>
              </w:rPr>
              <w:t>Séance 5. Solidarités et assistances (2/2)</w:t>
            </w:r>
          </w:p>
          <w:p w14:paraId="389E9E7C" w14:textId="77777777" w:rsidR="00EC4F8F" w:rsidRPr="00607133" w:rsidRDefault="00D61E1C" w:rsidP="00EC4F8F">
            <w:pPr>
              <w:pStyle w:val="Notes"/>
              <w:rPr>
                <w:rFonts w:cs="Times New Roman"/>
                <w:sz w:val="22"/>
                <w:szCs w:val="22"/>
              </w:rPr>
            </w:pPr>
            <w:r>
              <w:rPr>
                <w:rFonts w:cs="Times New Roman"/>
                <w:sz w:val="22"/>
                <w:szCs w:val="22"/>
              </w:rPr>
              <w:t>Source</w:t>
            </w:r>
            <w:r w:rsidR="00EC4F8F" w:rsidRPr="00607133">
              <w:rPr>
                <w:rFonts w:cs="Times New Roman"/>
                <w:sz w:val="22"/>
                <w:szCs w:val="22"/>
              </w:rPr>
              <w:t xml:space="preserve"> : </w:t>
            </w:r>
            <w:r w:rsidR="00071CB4" w:rsidRPr="00607133">
              <w:rPr>
                <w:rFonts w:cs="Times New Roman"/>
                <w:sz w:val="22"/>
                <w:szCs w:val="22"/>
              </w:rPr>
              <w:t>déclaration royale du 18 juillet 1724 concernant les mendiants et vagabonds</w:t>
            </w:r>
          </w:p>
          <w:p w14:paraId="3832DCFB" w14:textId="77777777" w:rsidR="00937AEC" w:rsidRPr="00607133" w:rsidRDefault="00EC4F8F" w:rsidP="00EC4F8F">
            <w:pPr>
              <w:pStyle w:val="Notes"/>
              <w:spacing w:after="80"/>
              <w:rPr>
                <w:rFonts w:cs="Times New Roman"/>
                <w:sz w:val="22"/>
                <w:szCs w:val="22"/>
              </w:rPr>
            </w:pPr>
            <w:r w:rsidRPr="00607133">
              <w:rPr>
                <w:rFonts w:cs="Times New Roman"/>
                <w:sz w:val="22"/>
                <w:szCs w:val="22"/>
              </w:rPr>
              <w:t xml:space="preserve">Objectif de la séance : </w:t>
            </w:r>
            <w:r w:rsidR="008D7FD7" w:rsidRPr="00607133">
              <w:rPr>
                <w:rFonts w:cs="Times New Roman"/>
                <w:sz w:val="22"/>
                <w:szCs w:val="22"/>
              </w:rPr>
              <w:t>construction de la structure du commentaire</w:t>
            </w:r>
            <w:r w:rsidR="005557E5">
              <w:rPr>
                <w:rFonts w:cs="Times New Roman"/>
                <w:sz w:val="22"/>
                <w:szCs w:val="22"/>
              </w:rPr>
              <w:t xml:space="preserve"> ; rédaction d’une </w:t>
            </w:r>
            <w:r w:rsidR="008D7FD7" w:rsidRPr="00607133">
              <w:rPr>
                <w:rFonts w:cs="Times New Roman"/>
                <w:sz w:val="22"/>
                <w:szCs w:val="22"/>
              </w:rPr>
              <w:t>sous-partie</w:t>
            </w:r>
          </w:p>
        </w:tc>
      </w:tr>
      <w:tr w:rsidR="00BB4E08" w:rsidRPr="00607133" w14:paraId="24C791EF" w14:textId="77777777" w:rsidTr="00C43280">
        <w:trPr>
          <w:jc w:val="center"/>
        </w:trPr>
        <w:tc>
          <w:tcPr>
            <w:tcW w:w="9351" w:type="dxa"/>
            <w:gridSpan w:val="2"/>
            <w:shd w:val="clear" w:color="auto" w:fill="D9D9D9" w:themeFill="background1" w:themeFillShade="D9"/>
            <w:vAlign w:val="center"/>
          </w:tcPr>
          <w:p w14:paraId="46FAF64C" w14:textId="77777777" w:rsidR="00BB4E08" w:rsidRPr="00607133" w:rsidRDefault="00BB4E08" w:rsidP="00BB4E08">
            <w:pPr>
              <w:pStyle w:val="Notes"/>
              <w:spacing w:before="80" w:after="80"/>
              <w:jc w:val="center"/>
              <w:rPr>
                <w:rFonts w:cs="Times New Roman"/>
                <w:b/>
                <w:sz w:val="22"/>
                <w:szCs w:val="22"/>
              </w:rPr>
            </w:pPr>
            <w:r w:rsidRPr="00607133">
              <w:rPr>
                <w:rFonts w:cs="Times New Roman"/>
                <w:i/>
                <w:sz w:val="22"/>
                <w:szCs w:val="22"/>
              </w:rPr>
              <w:t>Semaine de congés universitaires (du 19 au 27 février 2022)</w:t>
            </w:r>
          </w:p>
        </w:tc>
      </w:tr>
      <w:tr w:rsidR="00430C6F" w:rsidRPr="00607133" w14:paraId="70BE2159" w14:textId="77777777" w:rsidTr="0039575E">
        <w:trPr>
          <w:jc w:val="center"/>
        </w:trPr>
        <w:tc>
          <w:tcPr>
            <w:tcW w:w="846" w:type="dxa"/>
            <w:shd w:val="clear" w:color="auto" w:fill="F2F2F2" w:themeFill="background1" w:themeFillShade="F2"/>
            <w:vAlign w:val="center"/>
          </w:tcPr>
          <w:p w14:paraId="17364CE0" w14:textId="77777777" w:rsidR="009375C3" w:rsidRPr="00607133" w:rsidRDefault="00BB4E08" w:rsidP="005B135C">
            <w:pPr>
              <w:pStyle w:val="Notes"/>
              <w:jc w:val="center"/>
              <w:rPr>
                <w:rFonts w:cs="Times New Roman"/>
                <w:i/>
                <w:sz w:val="22"/>
                <w:szCs w:val="22"/>
              </w:rPr>
            </w:pPr>
            <w:r w:rsidRPr="00607133">
              <w:rPr>
                <w:rFonts w:cs="Times New Roman"/>
                <w:i/>
                <w:sz w:val="22"/>
                <w:szCs w:val="22"/>
              </w:rPr>
              <w:t>28.02</w:t>
            </w:r>
          </w:p>
        </w:tc>
        <w:tc>
          <w:tcPr>
            <w:tcW w:w="8505" w:type="dxa"/>
          </w:tcPr>
          <w:p w14:paraId="192FF90E" w14:textId="77777777" w:rsidR="00B04B8A" w:rsidRPr="0007453F" w:rsidRDefault="00B04B8A" w:rsidP="00B04B8A">
            <w:pPr>
              <w:pStyle w:val="Notes"/>
              <w:spacing w:before="80"/>
              <w:rPr>
                <w:rFonts w:cs="Times New Roman"/>
                <w:b/>
                <w:sz w:val="24"/>
                <w:szCs w:val="22"/>
              </w:rPr>
            </w:pPr>
            <w:r w:rsidRPr="0007453F">
              <w:rPr>
                <w:rFonts w:cs="Times New Roman"/>
                <w:b/>
                <w:sz w:val="24"/>
                <w:szCs w:val="22"/>
              </w:rPr>
              <w:t xml:space="preserve">Séance </w:t>
            </w:r>
            <w:r w:rsidR="00A2396F" w:rsidRPr="0007453F">
              <w:rPr>
                <w:rFonts w:cs="Times New Roman"/>
                <w:b/>
                <w:sz w:val="24"/>
                <w:szCs w:val="22"/>
              </w:rPr>
              <w:t>6</w:t>
            </w:r>
            <w:r w:rsidRPr="0007453F">
              <w:rPr>
                <w:rFonts w:cs="Times New Roman"/>
                <w:b/>
                <w:sz w:val="24"/>
                <w:szCs w:val="22"/>
              </w:rPr>
              <w:t xml:space="preserve">. </w:t>
            </w:r>
            <w:r w:rsidR="00625DB3">
              <w:rPr>
                <w:rFonts w:cs="Times New Roman"/>
                <w:b/>
                <w:sz w:val="24"/>
                <w:szCs w:val="22"/>
              </w:rPr>
              <w:t>Réformes économiques et instabilité sociale au XVIII</w:t>
            </w:r>
            <w:r w:rsidR="00625DB3" w:rsidRPr="00625DB3">
              <w:rPr>
                <w:rFonts w:cs="Times New Roman"/>
                <w:b/>
                <w:sz w:val="24"/>
                <w:szCs w:val="22"/>
                <w:vertAlign w:val="superscript"/>
              </w:rPr>
              <w:t>e</w:t>
            </w:r>
            <w:r w:rsidR="00625DB3">
              <w:rPr>
                <w:rFonts w:cs="Times New Roman"/>
                <w:b/>
                <w:sz w:val="24"/>
                <w:szCs w:val="22"/>
              </w:rPr>
              <w:t xml:space="preserve"> siècle</w:t>
            </w:r>
          </w:p>
          <w:p w14:paraId="60725318" w14:textId="77777777" w:rsidR="00B04B8A" w:rsidRPr="00607133" w:rsidRDefault="00D61E1C" w:rsidP="00B04B8A">
            <w:pPr>
              <w:pStyle w:val="Notes"/>
              <w:rPr>
                <w:rFonts w:cs="Times New Roman"/>
                <w:sz w:val="22"/>
                <w:szCs w:val="22"/>
              </w:rPr>
            </w:pPr>
            <w:r>
              <w:rPr>
                <w:rFonts w:cs="Times New Roman"/>
                <w:sz w:val="22"/>
                <w:szCs w:val="22"/>
              </w:rPr>
              <w:t>Source</w:t>
            </w:r>
            <w:r w:rsidR="00B04B8A" w:rsidRPr="00607133">
              <w:rPr>
                <w:rFonts w:cs="Times New Roman"/>
                <w:sz w:val="22"/>
                <w:szCs w:val="22"/>
              </w:rPr>
              <w:t xml:space="preserve"> : </w:t>
            </w:r>
            <w:r w:rsidR="00625DB3">
              <w:rPr>
                <w:rFonts w:cs="Times New Roman"/>
                <w:sz w:val="22"/>
                <w:szCs w:val="22"/>
              </w:rPr>
              <w:t xml:space="preserve">la guerre des farines </w:t>
            </w:r>
            <w:r w:rsidR="00161AED">
              <w:rPr>
                <w:rFonts w:cs="Times New Roman"/>
                <w:sz w:val="22"/>
                <w:szCs w:val="22"/>
              </w:rPr>
              <w:t xml:space="preserve">(1775) </w:t>
            </w:r>
            <w:r w:rsidR="00625DB3">
              <w:rPr>
                <w:rFonts w:cs="Times New Roman"/>
                <w:sz w:val="22"/>
                <w:szCs w:val="22"/>
              </w:rPr>
              <w:t>dans les</w:t>
            </w:r>
            <w:r w:rsidR="00FD7366" w:rsidRPr="00607133">
              <w:rPr>
                <w:rFonts w:cs="Times New Roman"/>
                <w:sz w:val="22"/>
                <w:szCs w:val="22"/>
              </w:rPr>
              <w:t xml:space="preserve"> </w:t>
            </w:r>
            <w:r w:rsidR="00FD7366" w:rsidRPr="00607133">
              <w:rPr>
                <w:rFonts w:cs="Times New Roman"/>
                <w:i/>
                <w:sz w:val="22"/>
                <w:szCs w:val="22"/>
              </w:rPr>
              <w:t>Mémoires</w:t>
            </w:r>
            <w:r w:rsidR="00FD7366" w:rsidRPr="00607133">
              <w:rPr>
                <w:rFonts w:cs="Times New Roman"/>
                <w:sz w:val="22"/>
                <w:szCs w:val="22"/>
              </w:rPr>
              <w:t xml:space="preserve"> de Jean-Charles-Pierre Lenoir</w:t>
            </w:r>
            <w:r w:rsidR="00A729E4" w:rsidRPr="00607133">
              <w:rPr>
                <w:rFonts w:cs="Times New Roman"/>
                <w:sz w:val="22"/>
                <w:szCs w:val="22"/>
              </w:rPr>
              <w:t xml:space="preserve"> </w:t>
            </w:r>
          </w:p>
          <w:p w14:paraId="1CEAA4B9" w14:textId="77777777" w:rsidR="00430C6F" w:rsidRPr="00607133" w:rsidRDefault="00B04B8A" w:rsidP="00B04B8A">
            <w:pPr>
              <w:pStyle w:val="Notes"/>
              <w:spacing w:after="80"/>
              <w:rPr>
                <w:rFonts w:cs="Times New Roman"/>
                <w:sz w:val="22"/>
                <w:szCs w:val="22"/>
              </w:rPr>
            </w:pPr>
            <w:r w:rsidRPr="00607133">
              <w:rPr>
                <w:rFonts w:cs="Times New Roman"/>
                <w:sz w:val="22"/>
                <w:szCs w:val="22"/>
              </w:rPr>
              <w:t xml:space="preserve">Objectif de la séance : </w:t>
            </w:r>
            <w:r w:rsidR="00433036" w:rsidRPr="00607133">
              <w:rPr>
                <w:rFonts w:cs="Times New Roman"/>
                <w:sz w:val="22"/>
                <w:szCs w:val="22"/>
              </w:rPr>
              <w:t xml:space="preserve">construction </w:t>
            </w:r>
            <w:r w:rsidR="009C231E" w:rsidRPr="00607133">
              <w:rPr>
                <w:rFonts w:cs="Times New Roman"/>
                <w:sz w:val="22"/>
                <w:szCs w:val="22"/>
              </w:rPr>
              <w:t xml:space="preserve">et présentation </w:t>
            </w:r>
            <w:r w:rsidR="00433036" w:rsidRPr="00607133">
              <w:rPr>
                <w:rFonts w:cs="Times New Roman"/>
                <w:sz w:val="22"/>
                <w:szCs w:val="22"/>
              </w:rPr>
              <w:t xml:space="preserve">d’un plan détaillé </w:t>
            </w:r>
          </w:p>
        </w:tc>
      </w:tr>
      <w:tr w:rsidR="00430C6F" w:rsidRPr="00607133" w14:paraId="0077AEA2" w14:textId="77777777" w:rsidTr="0039575E">
        <w:trPr>
          <w:jc w:val="center"/>
        </w:trPr>
        <w:tc>
          <w:tcPr>
            <w:tcW w:w="846" w:type="dxa"/>
            <w:shd w:val="clear" w:color="auto" w:fill="F2F2F2" w:themeFill="background1" w:themeFillShade="F2"/>
            <w:vAlign w:val="center"/>
          </w:tcPr>
          <w:p w14:paraId="491252DC" w14:textId="77777777" w:rsidR="009375C3" w:rsidRPr="00607133" w:rsidRDefault="00BB4E08" w:rsidP="005B135C">
            <w:pPr>
              <w:pStyle w:val="Notes"/>
              <w:jc w:val="center"/>
              <w:rPr>
                <w:rFonts w:cs="Times New Roman"/>
                <w:i/>
                <w:sz w:val="22"/>
                <w:szCs w:val="22"/>
              </w:rPr>
            </w:pPr>
            <w:r w:rsidRPr="00607133">
              <w:rPr>
                <w:rFonts w:cs="Times New Roman"/>
                <w:i/>
                <w:sz w:val="22"/>
                <w:szCs w:val="22"/>
              </w:rPr>
              <w:t>07.03</w:t>
            </w:r>
          </w:p>
        </w:tc>
        <w:tc>
          <w:tcPr>
            <w:tcW w:w="8505" w:type="dxa"/>
          </w:tcPr>
          <w:p w14:paraId="5F01A1C1" w14:textId="77777777" w:rsidR="00EC4F8F" w:rsidRPr="0007453F" w:rsidRDefault="00EC4F8F" w:rsidP="00EC4F8F">
            <w:pPr>
              <w:pStyle w:val="Notes"/>
              <w:spacing w:before="80"/>
              <w:rPr>
                <w:rFonts w:cs="Times New Roman"/>
                <w:b/>
                <w:sz w:val="24"/>
                <w:szCs w:val="22"/>
              </w:rPr>
            </w:pPr>
            <w:r w:rsidRPr="0007453F">
              <w:rPr>
                <w:rFonts w:cs="Times New Roman"/>
                <w:b/>
                <w:sz w:val="24"/>
                <w:szCs w:val="22"/>
              </w:rPr>
              <w:t>Séance 7. Le procès Fouquet (1664) (1/2)</w:t>
            </w:r>
            <w:r w:rsidR="00456621" w:rsidRPr="0007453F">
              <w:rPr>
                <w:rFonts w:cs="Times New Roman"/>
                <w:b/>
                <w:sz w:val="24"/>
                <w:szCs w:val="22"/>
              </w:rPr>
              <w:t xml:space="preserve"> </w:t>
            </w:r>
          </w:p>
          <w:p w14:paraId="5CA74F2A" w14:textId="77777777" w:rsidR="00EC4F8F" w:rsidRPr="00607133" w:rsidRDefault="00D61E1C" w:rsidP="00EC4F8F">
            <w:pPr>
              <w:pStyle w:val="Notes"/>
              <w:rPr>
                <w:rFonts w:cs="Times New Roman"/>
                <w:sz w:val="22"/>
                <w:szCs w:val="22"/>
              </w:rPr>
            </w:pPr>
            <w:r>
              <w:rPr>
                <w:rFonts w:cs="Times New Roman"/>
                <w:sz w:val="22"/>
                <w:szCs w:val="22"/>
              </w:rPr>
              <w:t>Source</w:t>
            </w:r>
            <w:r w:rsidR="00EC4F8F" w:rsidRPr="00607133">
              <w:rPr>
                <w:rFonts w:cs="Times New Roman"/>
                <w:sz w:val="22"/>
                <w:szCs w:val="22"/>
              </w:rPr>
              <w:t> : extraits de la correspondance de la Marquise de Sévigné</w:t>
            </w:r>
          </w:p>
          <w:p w14:paraId="1994E73C" w14:textId="77777777" w:rsidR="00430C6F" w:rsidRPr="00607133" w:rsidRDefault="00EC4F8F" w:rsidP="00EC4F8F">
            <w:pPr>
              <w:pStyle w:val="Notes"/>
              <w:spacing w:after="80"/>
              <w:rPr>
                <w:rFonts w:cs="Times New Roman"/>
                <w:sz w:val="22"/>
                <w:szCs w:val="22"/>
              </w:rPr>
            </w:pPr>
            <w:r w:rsidRPr="00607133">
              <w:rPr>
                <w:rFonts w:cs="Times New Roman"/>
                <w:sz w:val="22"/>
                <w:szCs w:val="22"/>
              </w:rPr>
              <w:t>Objectif de la séance : commentaire linéaire</w:t>
            </w:r>
            <w:r w:rsidR="0010599B" w:rsidRPr="00607133">
              <w:rPr>
                <w:rFonts w:cs="Times New Roman"/>
                <w:sz w:val="22"/>
                <w:szCs w:val="22"/>
              </w:rPr>
              <w:t xml:space="preserve">, usage </w:t>
            </w:r>
            <w:r w:rsidR="009C231E" w:rsidRPr="00607133">
              <w:rPr>
                <w:rFonts w:cs="Times New Roman"/>
                <w:sz w:val="22"/>
                <w:szCs w:val="22"/>
              </w:rPr>
              <w:t xml:space="preserve">efficace </w:t>
            </w:r>
            <w:r w:rsidR="0010599B" w:rsidRPr="00607133">
              <w:rPr>
                <w:rFonts w:cs="Times New Roman"/>
                <w:sz w:val="22"/>
                <w:szCs w:val="22"/>
              </w:rPr>
              <w:t xml:space="preserve">de la bibliographie </w:t>
            </w:r>
          </w:p>
        </w:tc>
      </w:tr>
      <w:tr w:rsidR="00430C6F" w:rsidRPr="00607133" w14:paraId="0985A71A" w14:textId="77777777" w:rsidTr="0039575E">
        <w:trPr>
          <w:jc w:val="center"/>
        </w:trPr>
        <w:tc>
          <w:tcPr>
            <w:tcW w:w="846" w:type="dxa"/>
            <w:shd w:val="clear" w:color="auto" w:fill="F2F2F2" w:themeFill="background1" w:themeFillShade="F2"/>
            <w:vAlign w:val="center"/>
          </w:tcPr>
          <w:p w14:paraId="0A733B6C" w14:textId="77777777" w:rsidR="00430C6F" w:rsidRPr="00607133" w:rsidRDefault="00BB4E08" w:rsidP="000029E6">
            <w:pPr>
              <w:pStyle w:val="Notes"/>
              <w:jc w:val="center"/>
              <w:rPr>
                <w:rFonts w:cs="Times New Roman"/>
                <w:i/>
                <w:sz w:val="22"/>
                <w:szCs w:val="22"/>
              </w:rPr>
            </w:pPr>
            <w:r w:rsidRPr="00607133">
              <w:rPr>
                <w:rFonts w:cs="Times New Roman"/>
                <w:i/>
                <w:sz w:val="22"/>
                <w:szCs w:val="22"/>
              </w:rPr>
              <w:t>14.03</w:t>
            </w:r>
          </w:p>
        </w:tc>
        <w:tc>
          <w:tcPr>
            <w:tcW w:w="8505" w:type="dxa"/>
          </w:tcPr>
          <w:p w14:paraId="01BB450D" w14:textId="77777777" w:rsidR="00EC4F8F" w:rsidRPr="0007453F" w:rsidRDefault="00EC4F8F" w:rsidP="00EC4F8F">
            <w:pPr>
              <w:pStyle w:val="Notes"/>
              <w:spacing w:before="80"/>
              <w:rPr>
                <w:rFonts w:cs="Times New Roman"/>
                <w:b/>
                <w:sz w:val="24"/>
                <w:szCs w:val="22"/>
              </w:rPr>
            </w:pPr>
            <w:r w:rsidRPr="0007453F">
              <w:rPr>
                <w:rFonts w:cs="Times New Roman"/>
                <w:b/>
                <w:sz w:val="24"/>
                <w:szCs w:val="22"/>
              </w:rPr>
              <w:t>Séance 8. Le procès Fouquet (1664) (2/2)</w:t>
            </w:r>
            <w:r w:rsidR="00456621" w:rsidRPr="0007453F">
              <w:rPr>
                <w:rFonts w:cs="Times New Roman"/>
                <w:b/>
                <w:sz w:val="24"/>
                <w:szCs w:val="22"/>
              </w:rPr>
              <w:t xml:space="preserve"> </w:t>
            </w:r>
          </w:p>
          <w:p w14:paraId="0854C626" w14:textId="77777777" w:rsidR="00EC4F8F" w:rsidRPr="00607133" w:rsidRDefault="00D61E1C" w:rsidP="00EC4F8F">
            <w:pPr>
              <w:pStyle w:val="Notes"/>
              <w:rPr>
                <w:rFonts w:cs="Times New Roman"/>
                <w:i/>
                <w:sz w:val="22"/>
                <w:szCs w:val="22"/>
              </w:rPr>
            </w:pPr>
            <w:r>
              <w:rPr>
                <w:rFonts w:cs="Times New Roman"/>
                <w:sz w:val="22"/>
                <w:szCs w:val="22"/>
              </w:rPr>
              <w:t>Source</w:t>
            </w:r>
            <w:r w:rsidR="00EC4F8F" w:rsidRPr="00607133">
              <w:rPr>
                <w:rFonts w:cs="Times New Roman"/>
                <w:sz w:val="22"/>
                <w:szCs w:val="22"/>
              </w:rPr>
              <w:t xml:space="preserve"> : extraits de la correspondance de la Marquise de Sévigné </w:t>
            </w:r>
          </w:p>
          <w:p w14:paraId="37426767" w14:textId="77777777" w:rsidR="00430C6F" w:rsidRPr="00607133" w:rsidRDefault="00EC4F8F" w:rsidP="00EC4F8F">
            <w:pPr>
              <w:pStyle w:val="Notes"/>
              <w:spacing w:after="80"/>
              <w:rPr>
                <w:rFonts w:cs="Times New Roman"/>
                <w:sz w:val="22"/>
                <w:szCs w:val="22"/>
              </w:rPr>
            </w:pPr>
            <w:r w:rsidRPr="00607133">
              <w:rPr>
                <w:rFonts w:cs="Times New Roman"/>
                <w:sz w:val="22"/>
                <w:szCs w:val="22"/>
              </w:rPr>
              <w:t>Objectif de la séance : rédaction d’un commentaire</w:t>
            </w:r>
            <w:r w:rsidR="008D7FD7" w:rsidRPr="00607133">
              <w:rPr>
                <w:rFonts w:cs="Times New Roman"/>
                <w:sz w:val="22"/>
                <w:szCs w:val="22"/>
              </w:rPr>
              <w:t xml:space="preserve"> complet</w:t>
            </w:r>
            <w:r w:rsidRPr="00607133">
              <w:rPr>
                <w:rFonts w:cs="Times New Roman"/>
                <w:sz w:val="22"/>
                <w:szCs w:val="22"/>
              </w:rPr>
              <w:t xml:space="preserve"> (</w:t>
            </w:r>
            <w:r w:rsidRPr="00607133">
              <w:rPr>
                <w:rFonts w:cs="Times New Roman"/>
                <w:sz w:val="22"/>
                <w:szCs w:val="22"/>
                <w:u w:val="single"/>
              </w:rPr>
              <w:t>devoir sur table</w:t>
            </w:r>
            <w:r w:rsidRPr="00607133">
              <w:rPr>
                <w:rFonts w:cs="Times New Roman"/>
                <w:sz w:val="22"/>
                <w:szCs w:val="22"/>
              </w:rPr>
              <w:t>)</w:t>
            </w:r>
          </w:p>
        </w:tc>
      </w:tr>
      <w:tr w:rsidR="007A0EBB" w:rsidRPr="00607133" w14:paraId="3B0CC296" w14:textId="77777777" w:rsidTr="0039575E">
        <w:trPr>
          <w:jc w:val="center"/>
        </w:trPr>
        <w:tc>
          <w:tcPr>
            <w:tcW w:w="846" w:type="dxa"/>
            <w:shd w:val="clear" w:color="auto" w:fill="F2F2F2" w:themeFill="background1" w:themeFillShade="F2"/>
            <w:vAlign w:val="center"/>
          </w:tcPr>
          <w:p w14:paraId="6768445E" w14:textId="77777777" w:rsidR="007A0EBB" w:rsidRPr="00607133" w:rsidRDefault="00BB4E08" w:rsidP="000029E6">
            <w:pPr>
              <w:pStyle w:val="Notes"/>
              <w:jc w:val="center"/>
              <w:rPr>
                <w:rFonts w:cs="Times New Roman"/>
                <w:i/>
                <w:sz w:val="22"/>
                <w:szCs w:val="22"/>
              </w:rPr>
            </w:pPr>
            <w:r w:rsidRPr="00607133">
              <w:rPr>
                <w:rFonts w:cs="Times New Roman"/>
                <w:i/>
                <w:sz w:val="22"/>
                <w:szCs w:val="22"/>
              </w:rPr>
              <w:t>21.03</w:t>
            </w:r>
          </w:p>
        </w:tc>
        <w:tc>
          <w:tcPr>
            <w:tcW w:w="8505" w:type="dxa"/>
          </w:tcPr>
          <w:p w14:paraId="2613C5A2" w14:textId="77777777" w:rsidR="00456621" w:rsidRPr="0007453F" w:rsidRDefault="00456621" w:rsidP="00456621">
            <w:pPr>
              <w:pStyle w:val="Notes"/>
              <w:spacing w:before="80"/>
              <w:rPr>
                <w:rFonts w:cs="Times New Roman"/>
                <w:b/>
                <w:sz w:val="24"/>
                <w:szCs w:val="22"/>
              </w:rPr>
            </w:pPr>
            <w:r w:rsidRPr="0007453F">
              <w:rPr>
                <w:rFonts w:cs="Times New Roman"/>
                <w:b/>
                <w:sz w:val="24"/>
                <w:szCs w:val="22"/>
              </w:rPr>
              <w:t xml:space="preserve">Séance 9. </w:t>
            </w:r>
            <w:r w:rsidR="0013659B" w:rsidRPr="0007453F">
              <w:rPr>
                <w:rFonts w:cs="Times New Roman"/>
                <w:b/>
                <w:sz w:val="24"/>
                <w:szCs w:val="22"/>
              </w:rPr>
              <w:t xml:space="preserve">La production des savoirs dans la France des Lumières  </w:t>
            </w:r>
            <w:r w:rsidR="009B28D1" w:rsidRPr="0007453F">
              <w:rPr>
                <w:rFonts w:cs="Times New Roman"/>
                <w:b/>
                <w:sz w:val="24"/>
                <w:szCs w:val="22"/>
              </w:rPr>
              <w:t xml:space="preserve">  </w:t>
            </w:r>
          </w:p>
          <w:p w14:paraId="5F919883" w14:textId="77777777" w:rsidR="00456621" w:rsidRPr="00607133" w:rsidRDefault="00D61E1C" w:rsidP="00456621">
            <w:pPr>
              <w:pStyle w:val="Notes"/>
              <w:rPr>
                <w:rFonts w:cs="Times New Roman"/>
                <w:sz w:val="22"/>
                <w:szCs w:val="22"/>
              </w:rPr>
            </w:pPr>
            <w:r>
              <w:rPr>
                <w:rFonts w:cs="Times New Roman"/>
                <w:sz w:val="22"/>
                <w:szCs w:val="22"/>
              </w:rPr>
              <w:t>Source</w:t>
            </w:r>
            <w:r w:rsidR="00456621" w:rsidRPr="00607133">
              <w:rPr>
                <w:rFonts w:cs="Times New Roman"/>
                <w:sz w:val="22"/>
                <w:szCs w:val="22"/>
              </w:rPr>
              <w:t> :</w:t>
            </w:r>
            <w:r w:rsidR="009B28D1">
              <w:rPr>
                <w:rFonts w:cs="Times New Roman"/>
                <w:sz w:val="22"/>
                <w:szCs w:val="22"/>
              </w:rPr>
              <w:t xml:space="preserve"> règlement royal concernant l’académie des sciences (1699) </w:t>
            </w:r>
          </w:p>
          <w:p w14:paraId="6F94D06C" w14:textId="77777777" w:rsidR="007A0EBB" w:rsidRPr="00607133" w:rsidRDefault="00456621" w:rsidP="00456621">
            <w:pPr>
              <w:pStyle w:val="Notes"/>
              <w:spacing w:after="80"/>
              <w:jc w:val="left"/>
              <w:rPr>
                <w:rFonts w:cs="Times New Roman"/>
                <w:sz w:val="22"/>
                <w:szCs w:val="22"/>
              </w:rPr>
            </w:pPr>
            <w:r w:rsidRPr="00607133">
              <w:rPr>
                <w:rFonts w:cs="Times New Roman"/>
                <w:sz w:val="22"/>
                <w:szCs w:val="22"/>
              </w:rPr>
              <w:t>Objectif de la séance : construction d’un plan détaillé </w:t>
            </w:r>
          </w:p>
        </w:tc>
      </w:tr>
      <w:tr w:rsidR="00117CFD" w:rsidRPr="00607133" w14:paraId="36724ED6" w14:textId="77777777" w:rsidTr="0039575E">
        <w:trPr>
          <w:jc w:val="center"/>
        </w:trPr>
        <w:tc>
          <w:tcPr>
            <w:tcW w:w="846" w:type="dxa"/>
            <w:shd w:val="clear" w:color="auto" w:fill="F2F2F2" w:themeFill="background1" w:themeFillShade="F2"/>
            <w:vAlign w:val="center"/>
          </w:tcPr>
          <w:p w14:paraId="7391B800" w14:textId="77777777" w:rsidR="00117CFD" w:rsidRPr="00607133" w:rsidRDefault="00BB4E08" w:rsidP="00117CFD">
            <w:pPr>
              <w:pStyle w:val="Notes"/>
              <w:jc w:val="center"/>
              <w:rPr>
                <w:rFonts w:cs="Times New Roman"/>
                <w:i/>
                <w:sz w:val="22"/>
                <w:szCs w:val="22"/>
              </w:rPr>
            </w:pPr>
            <w:r w:rsidRPr="00607133">
              <w:rPr>
                <w:rFonts w:cs="Times New Roman"/>
                <w:i/>
                <w:sz w:val="22"/>
                <w:szCs w:val="22"/>
              </w:rPr>
              <w:t>28.03</w:t>
            </w:r>
          </w:p>
        </w:tc>
        <w:tc>
          <w:tcPr>
            <w:tcW w:w="8505" w:type="dxa"/>
          </w:tcPr>
          <w:p w14:paraId="384CCB17" w14:textId="77777777" w:rsidR="00370B6E" w:rsidRPr="0007453F" w:rsidRDefault="00117CFD" w:rsidP="00370B6E">
            <w:pPr>
              <w:pStyle w:val="Notes"/>
              <w:spacing w:before="80"/>
              <w:rPr>
                <w:rFonts w:cs="Times New Roman"/>
                <w:b/>
                <w:sz w:val="24"/>
                <w:szCs w:val="22"/>
              </w:rPr>
            </w:pPr>
            <w:r w:rsidRPr="0007453F">
              <w:rPr>
                <w:rFonts w:cs="Times New Roman"/>
                <w:b/>
                <w:sz w:val="24"/>
                <w:szCs w:val="22"/>
              </w:rPr>
              <w:t xml:space="preserve">Séance 10. </w:t>
            </w:r>
            <w:r w:rsidR="00370B6E" w:rsidRPr="0007453F">
              <w:rPr>
                <w:rFonts w:cs="Times New Roman"/>
                <w:b/>
                <w:sz w:val="24"/>
                <w:szCs w:val="22"/>
              </w:rPr>
              <w:t xml:space="preserve">Les conséquences de la guerre sur le royaume </w:t>
            </w:r>
          </w:p>
          <w:p w14:paraId="75180B31" w14:textId="77777777" w:rsidR="00117CFD" w:rsidRPr="00607133" w:rsidRDefault="00D61E1C" w:rsidP="00370B6E">
            <w:pPr>
              <w:pStyle w:val="Notes"/>
              <w:spacing w:after="80"/>
              <w:jc w:val="left"/>
              <w:rPr>
                <w:rFonts w:cs="Times New Roman"/>
                <w:sz w:val="22"/>
                <w:szCs w:val="22"/>
              </w:rPr>
            </w:pPr>
            <w:r>
              <w:rPr>
                <w:rFonts w:cs="Times New Roman"/>
                <w:sz w:val="22"/>
                <w:szCs w:val="22"/>
              </w:rPr>
              <w:t>Sources</w:t>
            </w:r>
            <w:r w:rsidR="00370B6E" w:rsidRPr="00607133">
              <w:rPr>
                <w:rFonts w:cs="Times New Roman"/>
                <w:sz w:val="22"/>
                <w:szCs w:val="22"/>
              </w:rPr>
              <w:t xml:space="preserve"> : dessins anonymes représentant les bombardements de Dunkerque (1694-1695) </w:t>
            </w:r>
            <w:r w:rsidR="00370B6E" w:rsidRPr="00607133">
              <w:rPr>
                <w:rFonts w:cs="Times New Roman"/>
                <w:sz w:val="22"/>
                <w:szCs w:val="22"/>
              </w:rPr>
              <w:br/>
              <w:t>Objectif de la séance : forger son propre protocole de questionnement de la source</w:t>
            </w:r>
            <w:r w:rsidR="00A729E4" w:rsidRPr="00607133">
              <w:rPr>
                <w:rFonts w:cs="Times New Roman"/>
                <w:sz w:val="22"/>
                <w:szCs w:val="22"/>
              </w:rPr>
              <w:br/>
            </w:r>
            <w:r w:rsidR="00A729E4" w:rsidRPr="00607133">
              <w:rPr>
                <w:rFonts w:cs="Times New Roman"/>
                <w:sz w:val="22"/>
                <w:szCs w:val="22"/>
                <w:u w:val="single"/>
              </w:rPr>
              <w:t>Contrôle de connaissances</w:t>
            </w:r>
            <w:r w:rsidR="00A729E4" w:rsidRPr="00607133">
              <w:rPr>
                <w:rFonts w:cs="Times New Roman"/>
                <w:sz w:val="22"/>
                <w:szCs w:val="22"/>
              </w:rPr>
              <w:t xml:space="preserve"> (séances </w:t>
            </w:r>
            <w:r w:rsidR="00C43418">
              <w:rPr>
                <w:rFonts w:cs="Times New Roman"/>
                <w:sz w:val="22"/>
                <w:szCs w:val="22"/>
              </w:rPr>
              <w:t>4, 5, 6, 7, 8 et 9</w:t>
            </w:r>
            <w:r w:rsidR="00A729E4" w:rsidRPr="00607133">
              <w:rPr>
                <w:rFonts w:cs="Times New Roman"/>
                <w:sz w:val="22"/>
                <w:szCs w:val="22"/>
              </w:rPr>
              <w:t xml:space="preserve"> du cours magistral)</w:t>
            </w:r>
          </w:p>
        </w:tc>
      </w:tr>
      <w:tr w:rsidR="00117CFD" w:rsidRPr="00607133" w14:paraId="416BAAC6" w14:textId="77777777" w:rsidTr="0039575E">
        <w:trPr>
          <w:jc w:val="center"/>
        </w:trPr>
        <w:tc>
          <w:tcPr>
            <w:tcW w:w="846" w:type="dxa"/>
            <w:shd w:val="clear" w:color="auto" w:fill="F2F2F2" w:themeFill="background1" w:themeFillShade="F2"/>
            <w:vAlign w:val="center"/>
          </w:tcPr>
          <w:p w14:paraId="5A474148" w14:textId="77777777" w:rsidR="00117CFD" w:rsidRPr="00607133" w:rsidRDefault="00BB4E08" w:rsidP="00117CFD">
            <w:pPr>
              <w:pStyle w:val="Notes"/>
              <w:jc w:val="center"/>
              <w:rPr>
                <w:rFonts w:cs="Times New Roman"/>
                <w:i/>
                <w:sz w:val="22"/>
                <w:szCs w:val="22"/>
              </w:rPr>
            </w:pPr>
            <w:r w:rsidRPr="00607133">
              <w:rPr>
                <w:rFonts w:cs="Times New Roman"/>
                <w:i/>
                <w:sz w:val="22"/>
                <w:szCs w:val="22"/>
              </w:rPr>
              <w:t>04.04</w:t>
            </w:r>
          </w:p>
        </w:tc>
        <w:tc>
          <w:tcPr>
            <w:tcW w:w="8505" w:type="dxa"/>
          </w:tcPr>
          <w:p w14:paraId="7AA04351" w14:textId="77777777" w:rsidR="00370B6E" w:rsidRPr="0007453F" w:rsidRDefault="00456621" w:rsidP="00370B6E">
            <w:pPr>
              <w:pStyle w:val="Notes"/>
              <w:spacing w:before="80"/>
              <w:rPr>
                <w:rFonts w:cs="Times New Roman"/>
                <w:b/>
                <w:sz w:val="24"/>
                <w:szCs w:val="22"/>
              </w:rPr>
            </w:pPr>
            <w:r w:rsidRPr="0007453F">
              <w:rPr>
                <w:rFonts w:cs="Times New Roman"/>
                <w:b/>
                <w:sz w:val="24"/>
                <w:szCs w:val="22"/>
              </w:rPr>
              <w:t xml:space="preserve">Séance 11. </w:t>
            </w:r>
            <w:r w:rsidR="00370B6E" w:rsidRPr="0007453F">
              <w:rPr>
                <w:rFonts w:cs="Times New Roman"/>
                <w:b/>
                <w:sz w:val="24"/>
                <w:szCs w:val="22"/>
              </w:rPr>
              <w:t>L’absolutisme en question(s) (1643-1788)</w:t>
            </w:r>
          </w:p>
          <w:p w14:paraId="7143644C" w14:textId="77777777" w:rsidR="00117CFD" w:rsidRPr="00607133" w:rsidRDefault="00370B6E" w:rsidP="00370B6E">
            <w:pPr>
              <w:pStyle w:val="Notes"/>
              <w:spacing w:after="80"/>
              <w:jc w:val="left"/>
              <w:rPr>
                <w:rFonts w:cs="Times New Roman"/>
                <w:sz w:val="22"/>
                <w:szCs w:val="22"/>
              </w:rPr>
            </w:pPr>
            <w:r w:rsidRPr="00607133">
              <w:rPr>
                <w:rFonts w:cs="Times New Roman"/>
                <w:sz w:val="22"/>
                <w:szCs w:val="22"/>
              </w:rPr>
              <w:t>Sujet de dissertation : « Le roi de France, un roi absolu ? (1643-1788) »</w:t>
            </w:r>
            <w:r w:rsidRPr="00607133">
              <w:rPr>
                <w:rFonts w:cs="Times New Roman"/>
                <w:sz w:val="22"/>
                <w:szCs w:val="22"/>
              </w:rPr>
              <w:br/>
              <w:t>Objectif de la séance : correction du devoir sur table ; aborder la dissertation sereinement</w:t>
            </w:r>
          </w:p>
        </w:tc>
      </w:tr>
      <w:tr w:rsidR="00117CFD" w:rsidRPr="00607133" w14:paraId="4433FD95" w14:textId="77777777" w:rsidTr="0039575E">
        <w:trPr>
          <w:jc w:val="center"/>
        </w:trPr>
        <w:tc>
          <w:tcPr>
            <w:tcW w:w="846" w:type="dxa"/>
            <w:shd w:val="clear" w:color="auto" w:fill="F2F2F2" w:themeFill="background1" w:themeFillShade="F2"/>
            <w:vAlign w:val="center"/>
          </w:tcPr>
          <w:p w14:paraId="5A834ED0" w14:textId="77777777" w:rsidR="00117CFD" w:rsidRPr="00607133" w:rsidRDefault="00BB4E08" w:rsidP="00117CFD">
            <w:pPr>
              <w:pStyle w:val="Notes"/>
              <w:jc w:val="center"/>
              <w:rPr>
                <w:rFonts w:cs="Times New Roman"/>
                <w:i/>
                <w:sz w:val="22"/>
                <w:szCs w:val="22"/>
              </w:rPr>
            </w:pPr>
            <w:r w:rsidRPr="00607133">
              <w:rPr>
                <w:rFonts w:cs="Times New Roman"/>
                <w:i/>
                <w:sz w:val="22"/>
                <w:szCs w:val="22"/>
              </w:rPr>
              <w:t>11.04</w:t>
            </w:r>
          </w:p>
        </w:tc>
        <w:tc>
          <w:tcPr>
            <w:tcW w:w="8505" w:type="dxa"/>
          </w:tcPr>
          <w:p w14:paraId="7A735614" w14:textId="77777777" w:rsidR="00BB4E08" w:rsidRPr="00607133" w:rsidRDefault="00117CFD" w:rsidP="00BB4E08">
            <w:pPr>
              <w:pStyle w:val="Notes"/>
              <w:spacing w:before="80"/>
              <w:jc w:val="left"/>
              <w:rPr>
                <w:rFonts w:cs="Times New Roman"/>
                <w:sz w:val="22"/>
                <w:szCs w:val="22"/>
              </w:rPr>
            </w:pPr>
            <w:r w:rsidRPr="0007453F">
              <w:rPr>
                <w:rFonts w:cs="Times New Roman"/>
                <w:b/>
                <w:sz w:val="24"/>
                <w:szCs w:val="22"/>
              </w:rPr>
              <w:t xml:space="preserve">Séance 12. </w:t>
            </w:r>
            <w:r w:rsidR="00475636">
              <w:rPr>
                <w:rFonts w:cs="Times New Roman"/>
                <w:b/>
                <w:sz w:val="24"/>
                <w:szCs w:val="22"/>
              </w:rPr>
              <w:t>L’administration des colonies et l’esclavage au XVIII</w:t>
            </w:r>
            <w:r w:rsidR="00475636" w:rsidRPr="00073FDD">
              <w:rPr>
                <w:rFonts w:cs="Times New Roman"/>
                <w:b/>
                <w:sz w:val="24"/>
                <w:szCs w:val="22"/>
                <w:vertAlign w:val="superscript"/>
              </w:rPr>
              <w:t>e</w:t>
            </w:r>
            <w:r w:rsidR="00475636">
              <w:rPr>
                <w:rFonts w:cs="Times New Roman"/>
                <w:b/>
                <w:sz w:val="24"/>
                <w:szCs w:val="22"/>
              </w:rPr>
              <w:t xml:space="preserve"> siècle </w:t>
            </w:r>
            <w:r w:rsidRPr="00607133">
              <w:rPr>
                <w:rFonts w:cs="Times New Roman"/>
                <w:sz w:val="22"/>
                <w:szCs w:val="22"/>
              </w:rPr>
              <w:br/>
            </w:r>
            <w:r w:rsidR="00D61E1C">
              <w:rPr>
                <w:rFonts w:cs="Times New Roman"/>
                <w:sz w:val="22"/>
                <w:szCs w:val="22"/>
              </w:rPr>
              <w:t>Source</w:t>
            </w:r>
            <w:r w:rsidR="00BB4E08" w:rsidRPr="00607133">
              <w:rPr>
                <w:rFonts w:cs="Times New Roman"/>
                <w:sz w:val="22"/>
                <w:szCs w:val="22"/>
              </w:rPr>
              <w:t> :</w:t>
            </w:r>
            <w:r w:rsidR="005901A6">
              <w:rPr>
                <w:rFonts w:cs="Times New Roman"/>
                <w:sz w:val="22"/>
                <w:szCs w:val="22"/>
              </w:rPr>
              <w:t xml:space="preserve"> interrogatoire d’une </w:t>
            </w:r>
            <w:r w:rsidR="00475636">
              <w:rPr>
                <w:rFonts w:cs="Times New Roman"/>
                <w:sz w:val="22"/>
                <w:szCs w:val="22"/>
              </w:rPr>
              <w:t>esclave noire de Louisiane (1764)</w:t>
            </w:r>
            <w:r w:rsidR="005901A6">
              <w:rPr>
                <w:rFonts w:cs="Times New Roman"/>
                <w:sz w:val="22"/>
                <w:szCs w:val="22"/>
              </w:rPr>
              <w:t xml:space="preserve">  </w:t>
            </w:r>
          </w:p>
          <w:p w14:paraId="35BA3946" w14:textId="77777777" w:rsidR="00117CFD" w:rsidRPr="00607133" w:rsidRDefault="00117CFD" w:rsidP="00BB4E08">
            <w:pPr>
              <w:pStyle w:val="Notes"/>
              <w:spacing w:after="80"/>
              <w:jc w:val="left"/>
              <w:rPr>
                <w:rFonts w:cs="Times New Roman"/>
                <w:b/>
                <w:sz w:val="22"/>
                <w:szCs w:val="22"/>
              </w:rPr>
            </w:pPr>
            <w:r w:rsidRPr="00607133">
              <w:rPr>
                <w:rFonts w:cs="Times New Roman"/>
                <w:sz w:val="22"/>
                <w:szCs w:val="22"/>
              </w:rPr>
              <w:t>Objectif de la séance :</w:t>
            </w:r>
            <w:r w:rsidR="00D53031" w:rsidRPr="00607133">
              <w:rPr>
                <w:rFonts w:cs="Times New Roman"/>
                <w:sz w:val="22"/>
                <w:szCs w:val="22"/>
              </w:rPr>
              <w:t xml:space="preserve"> </w:t>
            </w:r>
            <w:r w:rsidR="00475636">
              <w:rPr>
                <w:rFonts w:cs="Times New Roman"/>
                <w:sz w:val="22"/>
                <w:szCs w:val="22"/>
              </w:rPr>
              <w:t>objectifs ouverts</w:t>
            </w:r>
            <w:r w:rsidR="00E169E4">
              <w:rPr>
                <w:rFonts w:cs="Times New Roman"/>
                <w:sz w:val="22"/>
                <w:szCs w:val="22"/>
              </w:rPr>
              <w:t xml:space="preserve"> en fonction des besoins </w:t>
            </w:r>
          </w:p>
        </w:tc>
      </w:tr>
    </w:tbl>
    <w:p w14:paraId="19941E17" w14:textId="77777777" w:rsidR="0007453F" w:rsidRDefault="0007453F" w:rsidP="0007453F">
      <w:pPr>
        <w:pStyle w:val="Sansinterligne"/>
        <w:spacing w:line="276" w:lineRule="auto"/>
        <w:rPr>
          <w:rFonts w:cs="Times New Roman"/>
          <w:b w:val="0"/>
          <w:sz w:val="24"/>
          <w:u w:val="single"/>
        </w:rPr>
      </w:pPr>
      <w:r>
        <w:rPr>
          <w:rFonts w:cs="Times New Roman"/>
          <w:b w:val="0"/>
          <w:sz w:val="24"/>
          <w:u w:val="single"/>
        </w:rPr>
        <w:br w:type="page"/>
      </w:r>
    </w:p>
    <w:p w14:paraId="62530D7A" w14:textId="77777777" w:rsidR="006041A7" w:rsidRPr="009A6A18" w:rsidRDefault="006041A7" w:rsidP="006041A7">
      <w:pPr>
        <w:pStyle w:val="Sansinterligne"/>
        <w:rPr>
          <w:rFonts w:cs="Times New Roman"/>
          <w:sz w:val="24"/>
        </w:rPr>
      </w:pPr>
      <w:r w:rsidRPr="009A6A18">
        <w:rPr>
          <w:rFonts w:cs="Times New Roman"/>
          <w:sz w:val="24"/>
        </w:rPr>
        <w:lastRenderedPageBreak/>
        <w:t xml:space="preserve">Objectifs et attendus du semestre </w:t>
      </w:r>
    </w:p>
    <w:p w14:paraId="2738F935" w14:textId="77777777" w:rsidR="0032751B" w:rsidRPr="008B1B81" w:rsidRDefault="00D13B19" w:rsidP="0032751B">
      <w:pPr>
        <w:pStyle w:val="NormalWeb"/>
        <w:ind w:firstLine="0"/>
        <w:rPr>
          <w:rFonts w:ascii="Garamond" w:hAnsi="Garamond"/>
          <w:sz w:val="22"/>
        </w:rPr>
      </w:pPr>
      <w:r w:rsidRPr="008B1B81">
        <w:rPr>
          <w:rFonts w:ascii="Garamond" w:hAnsi="Garamond"/>
          <w:sz w:val="22"/>
        </w:rPr>
        <w:t>Le cours porte sur le royaume de France des XVII</w:t>
      </w:r>
      <w:r w:rsidRPr="008B1B81">
        <w:rPr>
          <w:rFonts w:ascii="Garamond" w:hAnsi="Garamond"/>
          <w:sz w:val="22"/>
          <w:vertAlign w:val="superscript"/>
        </w:rPr>
        <w:t>e</w:t>
      </w:r>
      <w:r w:rsidRPr="008B1B81">
        <w:rPr>
          <w:rFonts w:ascii="Garamond" w:hAnsi="Garamond"/>
          <w:sz w:val="22"/>
        </w:rPr>
        <w:t xml:space="preserve"> et XVIII</w:t>
      </w:r>
      <w:r w:rsidRPr="008B1B81">
        <w:rPr>
          <w:rFonts w:ascii="Garamond" w:hAnsi="Garamond"/>
          <w:sz w:val="22"/>
          <w:vertAlign w:val="superscript"/>
        </w:rPr>
        <w:t>e</w:t>
      </w:r>
      <w:r w:rsidRPr="008B1B81">
        <w:rPr>
          <w:rFonts w:ascii="Garamond" w:hAnsi="Garamond"/>
          <w:sz w:val="22"/>
        </w:rPr>
        <w:t xml:space="preserve"> siècles, de la Fronde à la Révolution française (exclue). </w:t>
      </w:r>
      <w:r w:rsidR="0032751B" w:rsidRPr="008B1B81">
        <w:rPr>
          <w:rFonts w:ascii="Garamond" w:hAnsi="Garamond"/>
          <w:sz w:val="22"/>
        </w:rPr>
        <w:t>Ce cours porte sur la période d’affermissement de l’État moderne en France et sur la confrontation entre cet État autoritaire et de nouvelles formes de sociabilité et de lieux de pouvoir qui se structurent. Il étudie le fonctionnement du pouvoir monarchique dans une période caractérisée d’abord par le triomphe des principes de la monarchie absolue puis par une crise politique qui débouche sur la phase prérévolutionnaire. Pour comprendre ces phénomènes, il est nécessaire de croiser les évolutions politiques avec les aspects économiques (développement de l’économie politique, pouvoir croissant des financiers, renforcement de la concurrence internationale), sociaux (remises en cause de la société d’ordre et des structures sociales traditionnelles, montée en puissance de nouvelles élites) et culturels (développements de l’instruction et de la rationalité, émergence de nouveaux savoirs et de nouvelles sociabilités intellectuelles, crises religieuses...) Il faut également prendre en compte l’apogée puis le déclin relatif de la puissance française en Europe et dans le monde, en tenant compte des enjeux coloniaux.</w:t>
      </w:r>
    </w:p>
    <w:p w14:paraId="4FBD31B5" w14:textId="77777777" w:rsidR="006041A7" w:rsidRPr="008B1B81" w:rsidRDefault="006041A7" w:rsidP="0032751B">
      <w:pPr>
        <w:pStyle w:val="NormalWeb"/>
        <w:ind w:firstLine="0"/>
        <w:rPr>
          <w:rFonts w:ascii="Garamond" w:hAnsi="Garamond"/>
          <w:sz w:val="22"/>
        </w:rPr>
      </w:pPr>
      <w:r w:rsidRPr="008B1B81">
        <w:rPr>
          <w:rFonts w:ascii="Garamond" w:hAnsi="Garamond"/>
          <w:sz w:val="22"/>
        </w:rPr>
        <w:t xml:space="preserve">En dehors d’une séance portant sur la dissertation, les TD visent à apprendre aux étudiants la méthode du commentaire de source historique. Ils amènent tous les étudiants à maîtriser cet exercice, qui est à la base du métier d’historien. Pour ces raisons, la programmation du semestre vise à aborder étape par étape l’exercice. Il est recommandé aux étudiants de suivre ces étapes sans essayer d’aller au-delà de ce qui est demandé. Les séances ont toutes un objectif donné, visant à compléter ou reprendre les compétences acquises précédemment au cours du semestre. </w:t>
      </w:r>
    </w:p>
    <w:p w14:paraId="2828C339" w14:textId="77777777" w:rsidR="00737388" w:rsidRPr="008B1B81" w:rsidRDefault="00737388" w:rsidP="0032751B">
      <w:pPr>
        <w:pStyle w:val="NormalWeb"/>
        <w:ind w:firstLine="0"/>
        <w:rPr>
          <w:rFonts w:ascii="Garamond" w:eastAsia="Times New Roman" w:hAnsi="Garamond"/>
          <w:sz w:val="22"/>
          <w:lang w:eastAsia="fr-FR"/>
        </w:rPr>
      </w:pPr>
      <w:r w:rsidRPr="008B1B81">
        <w:rPr>
          <w:rFonts w:ascii="Garamond" w:eastAsia="Times New Roman" w:hAnsi="Garamond"/>
          <w:sz w:val="22"/>
          <w:lang w:eastAsia="fr-FR"/>
        </w:rPr>
        <w:t xml:space="preserve">Il est attendu des étudiants qu’ils préparent les séances à l’avance. Cette préparation consiste en une lecture suivie des documents de la séance (source et annexes), en amont de celle-ci. Cette lecture donne lieu à un travail visible sur le fichier de TD, accompagné d’une prise de notes rapide sur papier libre. Aucune prise de note numérique ne sera acceptée. L’assiduité montré dans cette partie du travail est intégrée à l’évaluation du semestre. </w:t>
      </w:r>
    </w:p>
    <w:p w14:paraId="3ED62CB6" w14:textId="77777777" w:rsidR="0007453F" w:rsidRPr="006041A7" w:rsidRDefault="0007453F" w:rsidP="0007453F">
      <w:pPr>
        <w:pStyle w:val="Sansinterligne"/>
        <w:rPr>
          <w:sz w:val="24"/>
        </w:rPr>
      </w:pPr>
      <w:r w:rsidRPr="009A6A18">
        <w:rPr>
          <w:sz w:val="24"/>
        </w:rPr>
        <w:t>Assiduité</w:t>
      </w:r>
      <w:r w:rsidR="00D2212D">
        <w:rPr>
          <w:sz w:val="24"/>
        </w:rPr>
        <w:t xml:space="preserve">, préparation et </w:t>
      </w:r>
      <w:r w:rsidR="006041A7" w:rsidRPr="006041A7">
        <w:rPr>
          <w:sz w:val="24"/>
        </w:rPr>
        <w:t>participation</w:t>
      </w:r>
    </w:p>
    <w:p w14:paraId="397E1523" w14:textId="77777777" w:rsidR="002E3C46" w:rsidRPr="008623FD" w:rsidRDefault="0007453F" w:rsidP="006041A7">
      <w:pPr>
        <w:ind w:firstLine="0"/>
        <w:rPr>
          <w:szCs w:val="23"/>
        </w:rPr>
      </w:pPr>
      <w:r w:rsidRPr="008623FD">
        <w:rPr>
          <w:szCs w:val="23"/>
        </w:rPr>
        <w:t>L</w:t>
      </w:r>
      <w:r w:rsidR="004B46BE" w:rsidRPr="008623FD">
        <w:rPr>
          <w:szCs w:val="23"/>
        </w:rPr>
        <w:t>’</w:t>
      </w:r>
      <w:r w:rsidR="004B46BE" w:rsidRPr="008623FD">
        <w:rPr>
          <w:b/>
          <w:szCs w:val="23"/>
        </w:rPr>
        <w:t xml:space="preserve">assiduité aux séances </w:t>
      </w:r>
      <w:r w:rsidR="004B46BE" w:rsidRPr="008623FD">
        <w:rPr>
          <w:szCs w:val="23"/>
        </w:rPr>
        <w:t xml:space="preserve">de travaux dirigés est obligatoire. Les étudiants ayant des empêchements particuliers (activité professionnelle en parallèle, problèmes de santé…) sont invités à en faire part à l’enseignant dès le début du semestre. Toute absence non justifiée lors des séances donnant lieu à évaluation sera sanctionnée par la note de 0/20. </w:t>
      </w:r>
    </w:p>
    <w:p w14:paraId="34FDC372" w14:textId="77777777" w:rsidR="008B1B81" w:rsidRPr="008623FD" w:rsidRDefault="006041A7" w:rsidP="008B1B81">
      <w:pPr>
        <w:ind w:firstLine="0"/>
        <w:rPr>
          <w:szCs w:val="23"/>
        </w:rPr>
      </w:pPr>
      <w:r w:rsidRPr="008623FD">
        <w:rPr>
          <w:szCs w:val="23"/>
        </w:rPr>
        <w:t xml:space="preserve">La </w:t>
      </w:r>
      <w:r w:rsidRPr="008623FD">
        <w:rPr>
          <w:b/>
          <w:szCs w:val="23"/>
        </w:rPr>
        <w:t>préparation des séances</w:t>
      </w:r>
      <w:r w:rsidRPr="008623FD">
        <w:rPr>
          <w:szCs w:val="23"/>
        </w:rPr>
        <w:t xml:space="preserve"> attendue consiste en une </w:t>
      </w:r>
      <w:r w:rsidRPr="008623FD">
        <w:rPr>
          <w:szCs w:val="23"/>
          <w:u w:val="single"/>
        </w:rPr>
        <w:t>lecture suivie des documents de la séance</w:t>
      </w:r>
      <w:r w:rsidRPr="008623FD">
        <w:rPr>
          <w:szCs w:val="23"/>
        </w:rPr>
        <w:t xml:space="preserve"> (source et annexes), en amont de celle-ci. Cette lecture donne lieu à un travail visible sur le fichier de TD, accompagné d’une prise de notes rapide sur papier libre. Aucune prise de note numérique ne sera acceptée. </w:t>
      </w:r>
      <w:r w:rsidR="00D2212D" w:rsidRPr="008623FD">
        <w:rPr>
          <w:szCs w:val="23"/>
        </w:rPr>
        <w:t xml:space="preserve">Une </w:t>
      </w:r>
      <w:r w:rsidR="00D2212D" w:rsidRPr="008623FD">
        <w:rPr>
          <w:b/>
          <w:szCs w:val="23"/>
        </w:rPr>
        <w:t>note de participation</w:t>
      </w:r>
      <w:r w:rsidR="00D2212D" w:rsidRPr="008623FD">
        <w:rPr>
          <w:szCs w:val="23"/>
        </w:rPr>
        <w:t xml:space="preserve"> est prévue (voir modalités d’évaluation). Cette note de participation tient compte de l’implication dans le déroulé des séances, à l’oral lors des moments de mise en commun des éléments et au cours des exercices, avec l’enseignant. Aucun étudiant ne devrait jamais sortir d’une séance de TD sans avoir prononcé un mot en deux heures. </w:t>
      </w:r>
    </w:p>
    <w:p w14:paraId="063FBD31" w14:textId="77777777" w:rsidR="00FB1267" w:rsidRPr="009A6A18" w:rsidRDefault="00FB1267" w:rsidP="00640B3E">
      <w:pPr>
        <w:pStyle w:val="Sansinterligne"/>
        <w:rPr>
          <w:rFonts w:cs="Times New Roman"/>
          <w:sz w:val="24"/>
        </w:rPr>
      </w:pPr>
      <w:r w:rsidRPr="009A6A18">
        <w:rPr>
          <w:rFonts w:cs="Times New Roman"/>
          <w:sz w:val="24"/>
        </w:rPr>
        <w:t>Interdiction du numérique lors des TD</w:t>
      </w:r>
    </w:p>
    <w:p w14:paraId="5649ACEF" w14:textId="77777777" w:rsidR="00FB1267" w:rsidRPr="008623FD" w:rsidRDefault="00FB1267" w:rsidP="00FB1267">
      <w:pPr>
        <w:ind w:firstLine="0"/>
        <w:rPr>
          <w:rFonts w:cs="Times New Roman"/>
          <w:szCs w:val="23"/>
        </w:rPr>
      </w:pPr>
      <w:r w:rsidRPr="008623FD">
        <w:rPr>
          <w:rFonts w:cs="Times New Roman"/>
          <w:szCs w:val="23"/>
        </w:rPr>
        <w:t xml:space="preserve">Au cours des séances de TD, </w:t>
      </w:r>
      <w:r w:rsidRPr="008623FD">
        <w:rPr>
          <w:rFonts w:cs="Times New Roman"/>
          <w:b/>
          <w:szCs w:val="23"/>
          <w:u w:val="single"/>
        </w:rPr>
        <w:t>les ordinateurs et téléphones portables des étudiants sont interdits</w:t>
      </w:r>
      <w:r w:rsidRPr="008623FD">
        <w:rPr>
          <w:rFonts w:cs="Times New Roman"/>
          <w:szCs w:val="23"/>
        </w:rPr>
        <w:t xml:space="preserve">. Il est attendu des étudiants qu’ils viennent en cours munis de papier et du matériel d’écriture </w:t>
      </w:r>
      <w:r w:rsidR="00E601E6" w:rsidRPr="008623FD">
        <w:rPr>
          <w:rFonts w:cs="Times New Roman"/>
          <w:szCs w:val="23"/>
        </w:rPr>
        <w:t>indispensable</w:t>
      </w:r>
      <w:r w:rsidR="00856528" w:rsidRPr="008623FD">
        <w:rPr>
          <w:rFonts w:cs="Times New Roman"/>
          <w:szCs w:val="23"/>
        </w:rPr>
        <w:t>, ainsi que de leur fichier de TD</w:t>
      </w:r>
      <w:r w:rsidRPr="008623FD">
        <w:rPr>
          <w:rFonts w:cs="Times New Roman"/>
          <w:szCs w:val="23"/>
        </w:rPr>
        <w:t xml:space="preserve">. Le fichier de TD est conçu expressément pour éviter qu’un usage du numérique ne soit nécessaire. </w:t>
      </w:r>
      <w:r w:rsidR="00856528" w:rsidRPr="008623FD">
        <w:rPr>
          <w:rFonts w:cs="Times New Roman"/>
          <w:szCs w:val="23"/>
        </w:rPr>
        <w:t>Le respect de cette règle sera pris en compte dans l’évaluation de la participation (voir plus bas).</w:t>
      </w:r>
      <w:r w:rsidRPr="008623FD">
        <w:rPr>
          <w:rFonts w:cs="Times New Roman"/>
          <w:szCs w:val="23"/>
        </w:rPr>
        <w:t xml:space="preserve"> Seuls les étudiant</w:t>
      </w:r>
      <w:r w:rsidR="00E601E6" w:rsidRPr="008623FD">
        <w:rPr>
          <w:rFonts w:cs="Times New Roman"/>
          <w:szCs w:val="23"/>
        </w:rPr>
        <w:t>es et étudiant</w:t>
      </w:r>
      <w:r w:rsidRPr="008623FD">
        <w:rPr>
          <w:rFonts w:cs="Times New Roman"/>
          <w:szCs w:val="23"/>
        </w:rPr>
        <w:t xml:space="preserve">s disposant d’un PAP/PAI recommandant spécifiquement l’usage de l’ordinateur seront exemptés de cette interdiction. </w:t>
      </w:r>
    </w:p>
    <w:p w14:paraId="637C2623" w14:textId="77777777" w:rsidR="00B76724" w:rsidRPr="009A6A18" w:rsidRDefault="00430C6F" w:rsidP="00B76724">
      <w:pPr>
        <w:pStyle w:val="Sansinterligne"/>
        <w:rPr>
          <w:rFonts w:cs="Times New Roman"/>
          <w:sz w:val="24"/>
        </w:rPr>
      </w:pPr>
      <w:r w:rsidRPr="009A6A18">
        <w:rPr>
          <w:rFonts w:cs="Times New Roman"/>
          <w:sz w:val="24"/>
        </w:rPr>
        <w:lastRenderedPageBreak/>
        <w:t xml:space="preserve">Modalités d’évaluation </w:t>
      </w:r>
    </w:p>
    <w:p w14:paraId="2CCFFA56" w14:textId="77777777" w:rsidR="00B76724" w:rsidRPr="008623FD" w:rsidRDefault="00B76724" w:rsidP="006041A7">
      <w:pPr>
        <w:ind w:firstLine="0"/>
        <w:jc w:val="left"/>
        <w:rPr>
          <w:rFonts w:cs="Times New Roman"/>
          <w:szCs w:val="22"/>
        </w:rPr>
      </w:pPr>
      <w:r w:rsidRPr="008623FD">
        <w:rPr>
          <w:rFonts w:cs="Times New Roman"/>
          <w:szCs w:val="22"/>
        </w:rPr>
        <w:t xml:space="preserve">Les étudiants doivent obligatoirement avoir été évalués à </w:t>
      </w:r>
      <w:r w:rsidR="00BF43D9" w:rsidRPr="008623FD">
        <w:rPr>
          <w:rFonts w:cs="Times New Roman"/>
          <w:szCs w:val="22"/>
        </w:rPr>
        <w:t>quatre</w:t>
      </w:r>
      <w:r w:rsidRPr="008623FD">
        <w:rPr>
          <w:rFonts w:cs="Times New Roman"/>
          <w:szCs w:val="22"/>
        </w:rPr>
        <w:t xml:space="preserve"> reprises pour valider le TD</w:t>
      </w:r>
      <w:r w:rsidR="006041A7" w:rsidRPr="008623FD">
        <w:rPr>
          <w:rFonts w:cs="Times New Roman"/>
          <w:szCs w:val="22"/>
        </w:rPr>
        <w:t xml:space="preserve">. </w:t>
      </w:r>
      <w:r w:rsidR="006041A7" w:rsidRPr="008623FD">
        <w:rPr>
          <w:rFonts w:cs="Times New Roman"/>
          <w:szCs w:val="22"/>
        </w:rPr>
        <w:br/>
        <w:t xml:space="preserve">Toute absence non justifiée lors des séances d’évaluation sera sanctionnée par la note de 0/20. </w:t>
      </w:r>
    </w:p>
    <w:p w14:paraId="41C3851E" w14:textId="77777777" w:rsidR="00B76724" w:rsidRPr="008623FD" w:rsidRDefault="005F34B0" w:rsidP="002C0474">
      <w:pPr>
        <w:pStyle w:val="Notes"/>
        <w:spacing w:after="80" w:line="276" w:lineRule="auto"/>
        <w:ind w:left="284"/>
        <w:rPr>
          <w:rFonts w:cs="Times New Roman"/>
          <w:sz w:val="22"/>
          <w:szCs w:val="22"/>
        </w:rPr>
      </w:pPr>
      <w:r w:rsidRPr="008623FD">
        <w:rPr>
          <w:rFonts w:cs="Times New Roman"/>
          <w:sz w:val="22"/>
          <w:szCs w:val="22"/>
        </w:rPr>
        <w:t xml:space="preserve">1/ Deux </w:t>
      </w:r>
      <w:r w:rsidRPr="008623FD">
        <w:rPr>
          <w:rFonts w:cs="Times New Roman"/>
          <w:sz w:val="22"/>
          <w:szCs w:val="22"/>
          <w:u w:val="single"/>
        </w:rPr>
        <w:t>interrogations de cours</w:t>
      </w:r>
      <w:r w:rsidR="002C0474" w:rsidRPr="008623FD">
        <w:rPr>
          <w:rFonts w:cs="Times New Roman"/>
          <w:sz w:val="22"/>
          <w:szCs w:val="22"/>
        </w:rPr>
        <w:t>, en séance 4 (7 février) et 10 (28 mars). Il s’agit d’évaluations très courtes (10 minutes), destinées à vérifier que les connaissances vues en CM</w:t>
      </w:r>
      <w:r w:rsidR="00FB1267" w:rsidRPr="008623FD">
        <w:rPr>
          <w:rFonts w:cs="Times New Roman"/>
          <w:sz w:val="22"/>
          <w:szCs w:val="22"/>
        </w:rPr>
        <w:t xml:space="preserve"> et en TD</w:t>
      </w:r>
      <w:r w:rsidR="002C0474" w:rsidRPr="008623FD">
        <w:rPr>
          <w:rFonts w:cs="Times New Roman"/>
          <w:sz w:val="22"/>
          <w:szCs w:val="22"/>
        </w:rPr>
        <w:t xml:space="preserve"> sont acquises</w:t>
      </w:r>
      <w:r w:rsidR="00D62819" w:rsidRPr="008623FD">
        <w:rPr>
          <w:rFonts w:cs="Times New Roman"/>
          <w:sz w:val="22"/>
          <w:szCs w:val="22"/>
        </w:rPr>
        <w:t xml:space="preserve"> au fil du semestre</w:t>
      </w:r>
      <w:r w:rsidR="00937AEC" w:rsidRPr="008623FD">
        <w:rPr>
          <w:rFonts w:cs="Times New Roman"/>
          <w:sz w:val="22"/>
          <w:szCs w:val="22"/>
        </w:rPr>
        <w:t xml:space="preserve">. </w:t>
      </w:r>
    </w:p>
    <w:p w14:paraId="04D69B81" w14:textId="77777777" w:rsidR="00AD3B5E" w:rsidRPr="008623FD" w:rsidRDefault="00B76724" w:rsidP="002C0474">
      <w:pPr>
        <w:pStyle w:val="Notes"/>
        <w:spacing w:after="80" w:line="276" w:lineRule="auto"/>
        <w:ind w:left="284"/>
        <w:rPr>
          <w:rFonts w:cs="Times New Roman"/>
          <w:sz w:val="22"/>
          <w:szCs w:val="22"/>
        </w:rPr>
      </w:pPr>
      <w:r w:rsidRPr="008623FD">
        <w:rPr>
          <w:rFonts w:cs="Times New Roman"/>
          <w:sz w:val="22"/>
          <w:szCs w:val="22"/>
        </w:rPr>
        <w:t xml:space="preserve">2/ Un </w:t>
      </w:r>
      <w:r w:rsidRPr="008623FD">
        <w:rPr>
          <w:rFonts w:cs="Times New Roman"/>
          <w:sz w:val="22"/>
          <w:szCs w:val="22"/>
          <w:u w:val="single"/>
        </w:rPr>
        <w:t>devoir sur table</w:t>
      </w:r>
      <w:r w:rsidR="00BF43D9" w:rsidRPr="008623FD">
        <w:rPr>
          <w:rFonts w:cs="Times New Roman"/>
          <w:sz w:val="22"/>
          <w:szCs w:val="22"/>
        </w:rPr>
        <w:t xml:space="preserve"> </w:t>
      </w:r>
      <w:r w:rsidR="00A70B7D" w:rsidRPr="008623FD">
        <w:rPr>
          <w:rFonts w:cs="Times New Roman"/>
          <w:sz w:val="22"/>
          <w:szCs w:val="22"/>
        </w:rPr>
        <w:t>(séance 8</w:t>
      </w:r>
      <w:r w:rsidR="00114CFD" w:rsidRPr="008623FD">
        <w:rPr>
          <w:rFonts w:cs="Times New Roman"/>
          <w:sz w:val="22"/>
          <w:szCs w:val="22"/>
        </w:rPr>
        <w:t>, le 14 mars</w:t>
      </w:r>
      <w:r w:rsidR="00430C6F" w:rsidRPr="008623FD">
        <w:rPr>
          <w:rFonts w:cs="Times New Roman"/>
          <w:sz w:val="22"/>
          <w:szCs w:val="22"/>
        </w:rPr>
        <w:t>)</w:t>
      </w:r>
      <w:r w:rsidRPr="008623FD">
        <w:rPr>
          <w:rFonts w:cs="Times New Roman"/>
          <w:sz w:val="22"/>
          <w:szCs w:val="22"/>
        </w:rPr>
        <w:t>.</w:t>
      </w:r>
      <w:r w:rsidR="00CC5426" w:rsidRPr="008623FD">
        <w:rPr>
          <w:rFonts w:cs="Times New Roman"/>
          <w:sz w:val="22"/>
          <w:szCs w:val="22"/>
        </w:rPr>
        <w:t xml:space="preserve"> Ce devoir porte sur un texte commenté de façon linéaire lors de la séance précédente. Les étudiants travaillent leur plan entre les deux séances. Le devoir sur table s’effectue sans documents complémentaires, à l’aide d’un exemplaire du texte propre, sans annotations. Les étudiants </w:t>
      </w:r>
      <w:r w:rsidR="008623FD">
        <w:rPr>
          <w:rFonts w:cs="Times New Roman"/>
          <w:sz w:val="22"/>
          <w:szCs w:val="22"/>
        </w:rPr>
        <w:t>disposent de</w:t>
      </w:r>
      <w:r w:rsidR="00CC5426" w:rsidRPr="008623FD">
        <w:rPr>
          <w:rFonts w:cs="Times New Roman"/>
          <w:sz w:val="22"/>
          <w:szCs w:val="22"/>
        </w:rPr>
        <w:t xml:space="preserve"> deux heures pour composer un commentaire. </w:t>
      </w:r>
    </w:p>
    <w:p w14:paraId="381861E8" w14:textId="77777777" w:rsidR="006041A7" w:rsidRPr="008623FD" w:rsidRDefault="00AD3B5E" w:rsidP="00D2212D">
      <w:pPr>
        <w:pStyle w:val="Notes"/>
        <w:spacing w:after="80" w:line="276" w:lineRule="auto"/>
        <w:ind w:left="284"/>
        <w:rPr>
          <w:rFonts w:cs="Times New Roman"/>
          <w:sz w:val="22"/>
          <w:szCs w:val="22"/>
        </w:rPr>
      </w:pPr>
      <w:r w:rsidRPr="008623FD">
        <w:rPr>
          <w:rFonts w:cs="Times New Roman"/>
          <w:sz w:val="22"/>
          <w:szCs w:val="22"/>
        </w:rPr>
        <w:t>3/ Une note d’</w:t>
      </w:r>
      <w:r w:rsidRPr="008623FD">
        <w:rPr>
          <w:rFonts w:cs="Times New Roman"/>
          <w:sz w:val="22"/>
          <w:szCs w:val="22"/>
          <w:u w:val="single"/>
        </w:rPr>
        <w:t>implication</w:t>
      </w:r>
      <w:r w:rsidRPr="008623FD">
        <w:rPr>
          <w:rFonts w:cs="Times New Roman"/>
          <w:sz w:val="22"/>
          <w:szCs w:val="22"/>
        </w:rPr>
        <w:t xml:space="preserve"> individuelle lors des cours, comprenant la préparation en amont des séances et la participation aux discussions et activités.</w:t>
      </w:r>
    </w:p>
    <w:p w14:paraId="1A70C40C" w14:textId="77777777" w:rsidR="00AD3B5E" w:rsidRPr="008623FD" w:rsidRDefault="00AD3B5E" w:rsidP="00D2212D">
      <w:pPr>
        <w:pStyle w:val="Notes"/>
        <w:spacing w:before="240" w:after="80" w:line="276" w:lineRule="auto"/>
        <w:rPr>
          <w:rFonts w:cs="Times New Roman"/>
          <w:sz w:val="22"/>
          <w:szCs w:val="22"/>
        </w:rPr>
      </w:pPr>
      <w:r w:rsidRPr="008623FD">
        <w:rPr>
          <w:rFonts w:cs="Times New Roman"/>
          <w:sz w:val="22"/>
          <w:szCs w:val="22"/>
        </w:rPr>
        <w:t>L’</w:t>
      </w:r>
      <w:r w:rsidRPr="008623FD">
        <w:rPr>
          <w:rFonts w:cs="Times New Roman"/>
          <w:b/>
          <w:sz w:val="22"/>
          <w:szCs w:val="22"/>
        </w:rPr>
        <w:t>implication</w:t>
      </w:r>
      <w:r w:rsidRPr="008623FD">
        <w:rPr>
          <w:rFonts w:cs="Times New Roman"/>
          <w:sz w:val="22"/>
          <w:szCs w:val="22"/>
        </w:rPr>
        <w:t xml:space="preserve"> sera évaluée en fonction de la grille suivante :</w:t>
      </w:r>
    </w:p>
    <w:p w14:paraId="731DADC3" w14:textId="77777777" w:rsidR="00AD3B5E" w:rsidRPr="008623FD" w:rsidRDefault="00AD3B5E" w:rsidP="00AD3B5E">
      <w:pPr>
        <w:pStyle w:val="Notes"/>
        <w:numPr>
          <w:ilvl w:val="0"/>
          <w:numId w:val="1"/>
        </w:numPr>
        <w:spacing w:after="80" w:line="276" w:lineRule="auto"/>
        <w:rPr>
          <w:rFonts w:cs="Times New Roman"/>
          <w:sz w:val="22"/>
          <w:szCs w:val="22"/>
        </w:rPr>
      </w:pPr>
      <w:r w:rsidRPr="008623FD">
        <w:rPr>
          <w:rFonts w:cs="Times New Roman"/>
          <w:sz w:val="22"/>
          <w:szCs w:val="22"/>
        </w:rPr>
        <w:t xml:space="preserve">Préparation à chaque séance et participation active : 16 à 20/20 </w:t>
      </w:r>
    </w:p>
    <w:p w14:paraId="54A014E3" w14:textId="77777777" w:rsidR="00AD3B5E" w:rsidRPr="008623FD" w:rsidRDefault="00AD3B5E" w:rsidP="00AD3B5E">
      <w:pPr>
        <w:pStyle w:val="Notes"/>
        <w:numPr>
          <w:ilvl w:val="0"/>
          <w:numId w:val="1"/>
        </w:numPr>
        <w:spacing w:after="80" w:line="276" w:lineRule="auto"/>
        <w:rPr>
          <w:rFonts w:cs="Times New Roman"/>
          <w:sz w:val="22"/>
          <w:szCs w:val="22"/>
        </w:rPr>
      </w:pPr>
      <w:r w:rsidRPr="008623FD">
        <w:rPr>
          <w:rFonts w:cs="Times New Roman"/>
          <w:sz w:val="22"/>
          <w:szCs w:val="22"/>
        </w:rPr>
        <w:t xml:space="preserve">Préparation à chaque séance et participation aléatoire : 12 à 15/20 </w:t>
      </w:r>
    </w:p>
    <w:p w14:paraId="1C4E3CD5" w14:textId="77777777" w:rsidR="00B36476" w:rsidRPr="008623FD" w:rsidRDefault="00AD3B5E" w:rsidP="004B46BE">
      <w:pPr>
        <w:pStyle w:val="Notes"/>
        <w:numPr>
          <w:ilvl w:val="0"/>
          <w:numId w:val="1"/>
        </w:numPr>
        <w:spacing w:after="80" w:line="276" w:lineRule="auto"/>
        <w:rPr>
          <w:rFonts w:cs="Times New Roman"/>
          <w:sz w:val="22"/>
          <w:szCs w:val="22"/>
        </w:rPr>
      </w:pPr>
      <w:r w:rsidRPr="008623FD">
        <w:rPr>
          <w:rFonts w:cs="Times New Roman"/>
          <w:sz w:val="22"/>
          <w:szCs w:val="22"/>
        </w:rPr>
        <w:t xml:space="preserve">Préparation (ou participation) à chaque séance sans participation (ou préparation) : 9 à 11/20 </w:t>
      </w:r>
    </w:p>
    <w:p w14:paraId="00806E3B" w14:textId="77777777" w:rsidR="00AD3B5E" w:rsidRPr="008623FD" w:rsidRDefault="00AD3B5E" w:rsidP="004B46BE">
      <w:pPr>
        <w:pStyle w:val="Notes"/>
        <w:numPr>
          <w:ilvl w:val="0"/>
          <w:numId w:val="1"/>
        </w:numPr>
        <w:spacing w:after="80" w:line="276" w:lineRule="auto"/>
        <w:rPr>
          <w:rFonts w:cs="Times New Roman"/>
          <w:sz w:val="22"/>
          <w:szCs w:val="22"/>
        </w:rPr>
      </w:pPr>
      <w:r w:rsidRPr="008623FD">
        <w:rPr>
          <w:rFonts w:cs="Times New Roman"/>
          <w:sz w:val="22"/>
          <w:szCs w:val="22"/>
        </w:rPr>
        <w:t>Participation et préparation aléatoires : 5 à 8/20</w:t>
      </w:r>
    </w:p>
    <w:p w14:paraId="5A117F69" w14:textId="77777777" w:rsidR="00663C8E" w:rsidRPr="008623FD" w:rsidRDefault="00AD3B5E" w:rsidP="00663C8E">
      <w:pPr>
        <w:pStyle w:val="Notes"/>
        <w:numPr>
          <w:ilvl w:val="0"/>
          <w:numId w:val="1"/>
        </w:numPr>
        <w:spacing w:after="80" w:line="276" w:lineRule="auto"/>
        <w:rPr>
          <w:rFonts w:cs="Times New Roman"/>
          <w:sz w:val="22"/>
          <w:szCs w:val="22"/>
        </w:rPr>
      </w:pPr>
      <w:r w:rsidRPr="008623FD">
        <w:rPr>
          <w:rFonts w:cs="Times New Roman"/>
          <w:sz w:val="22"/>
          <w:szCs w:val="22"/>
        </w:rPr>
        <w:t>Pas ou très peu de préparation et participation : 0 à 4/20</w:t>
      </w:r>
      <w:r w:rsidR="007527ED" w:rsidRPr="008623FD">
        <w:rPr>
          <w:rFonts w:cs="Times New Roman"/>
          <w:sz w:val="22"/>
          <w:szCs w:val="22"/>
        </w:rPr>
        <w:t xml:space="preserve">. </w:t>
      </w:r>
      <w:r w:rsidR="00663C8E" w:rsidRPr="008623FD">
        <w:rPr>
          <w:rFonts w:cs="Times New Roman"/>
          <w:sz w:val="22"/>
          <w:szCs w:val="22"/>
        </w:rPr>
        <w:t xml:space="preserve"> </w:t>
      </w:r>
    </w:p>
    <w:p w14:paraId="6C51BEE7" w14:textId="77777777" w:rsidR="00641FD3" w:rsidRPr="008623FD" w:rsidRDefault="00663C8E" w:rsidP="008623FD">
      <w:pPr>
        <w:pStyle w:val="Notes"/>
        <w:spacing w:before="240" w:after="80" w:line="276" w:lineRule="auto"/>
        <w:rPr>
          <w:rFonts w:cs="Times New Roman"/>
          <w:sz w:val="22"/>
          <w:szCs w:val="22"/>
        </w:rPr>
      </w:pPr>
      <w:r w:rsidRPr="008623FD">
        <w:rPr>
          <w:rFonts w:cs="Times New Roman"/>
          <w:sz w:val="22"/>
          <w:szCs w:val="22"/>
        </w:rPr>
        <w:t xml:space="preserve">Concernant l’évaluation des copies, </w:t>
      </w:r>
      <w:r w:rsidR="00641FD3" w:rsidRPr="008623FD">
        <w:rPr>
          <w:rFonts w:cs="Times New Roman"/>
          <w:sz w:val="22"/>
          <w:szCs w:val="22"/>
        </w:rPr>
        <w:t xml:space="preserve">certaines fautes graves, de fond et de forme, sont particulièrement et systématiquement sanctionnées lors de la correction des copies. Il s’agit : </w:t>
      </w:r>
    </w:p>
    <w:p w14:paraId="17158E78" w14:textId="77777777" w:rsidR="00FE21D9" w:rsidRPr="008623FD" w:rsidRDefault="007E5306" w:rsidP="00641FD3">
      <w:pPr>
        <w:pStyle w:val="Notes"/>
        <w:numPr>
          <w:ilvl w:val="0"/>
          <w:numId w:val="2"/>
        </w:numPr>
        <w:spacing w:after="80" w:line="276" w:lineRule="auto"/>
        <w:rPr>
          <w:rFonts w:cs="Times New Roman"/>
          <w:sz w:val="22"/>
          <w:szCs w:val="22"/>
        </w:rPr>
      </w:pPr>
      <w:r w:rsidRPr="008623FD">
        <w:rPr>
          <w:rFonts w:cs="Times New Roman"/>
          <w:sz w:val="22"/>
          <w:szCs w:val="22"/>
        </w:rPr>
        <w:t xml:space="preserve">De la </w:t>
      </w:r>
      <w:r w:rsidRPr="008623FD">
        <w:rPr>
          <w:rFonts w:cs="Times New Roman"/>
          <w:b/>
          <w:sz w:val="22"/>
          <w:szCs w:val="22"/>
        </w:rPr>
        <w:t>multiplication des fautes d’orthographe</w:t>
      </w:r>
      <w:r w:rsidRPr="008623FD">
        <w:rPr>
          <w:rFonts w:cs="Times New Roman"/>
          <w:sz w:val="22"/>
          <w:szCs w:val="22"/>
        </w:rPr>
        <w:t>, de grammaire et de conjugaison. Au-delà des petites fautes d’inattention, sont sanctionnées</w:t>
      </w:r>
      <w:r w:rsidR="00A801F9" w:rsidRPr="008623FD">
        <w:rPr>
          <w:rFonts w:cs="Times New Roman"/>
          <w:sz w:val="22"/>
          <w:szCs w:val="22"/>
        </w:rPr>
        <w:t xml:space="preserve"> </w:t>
      </w:r>
      <w:r w:rsidRPr="008623FD">
        <w:rPr>
          <w:rFonts w:cs="Times New Roman"/>
          <w:sz w:val="22"/>
          <w:szCs w:val="22"/>
        </w:rPr>
        <w:t>: les phrases sans verbe ou proposition principale, la répétition de fautes d’accords graves (participes passés, pluriels et conjugaisons aléatoires) ainsi que des erreurs d’orthographe touchant à des mots de vocabulaire essentiels au sujet</w:t>
      </w:r>
      <w:r w:rsidR="008623FD">
        <w:rPr>
          <w:rFonts w:cs="Times New Roman"/>
          <w:sz w:val="22"/>
          <w:szCs w:val="22"/>
        </w:rPr>
        <w:t xml:space="preserve"> ; </w:t>
      </w:r>
    </w:p>
    <w:p w14:paraId="31075076" w14:textId="77777777" w:rsidR="00663C8E" w:rsidRPr="008623FD" w:rsidRDefault="00641FD3" w:rsidP="00641FD3">
      <w:pPr>
        <w:pStyle w:val="Notes"/>
        <w:numPr>
          <w:ilvl w:val="0"/>
          <w:numId w:val="2"/>
        </w:numPr>
        <w:spacing w:after="80" w:line="276" w:lineRule="auto"/>
        <w:rPr>
          <w:rFonts w:cs="Times New Roman"/>
          <w:sz w:val="22"/>
          <w:szCs w:val="22"/>
        </w:rPr>
      </w:pPr>
      <w:r w:rsidRPr="008623FD">
        <w:rPr>
          <w:rFonts w:cs="Times New Roman"/>
          <w:sz w:val="22"/>
          <w:szCs w:val="22"/>
        </w:rPr>
        <w:t>De l’</w:t>
      </w:r>
      <w:r w:rsidRPr="008623FD">
        <w:rPr>
          <w:rFonts w:cs="Times New Roman"/>
          <w:b/>
          <w:sz w:val="22"/>
          <w:szCs w:val="22"/>
        </w:rPr>
        <w:t xml:space="preserve">usage du futur </w:t>
      </w:r>
      <w:r w:rsidRPr="008623FD">
        <w:rPr>
          <w:rFonts w:cs="Times New Roman"/>
          <w:sz w:val="22"/>
          <w:szCs w:val="22"/>
        </w:rPr>
        <w:t>et de formes assimilées (</w:t>
      </w:r>
      <w:r w:rsidR="00AF5655" w:rsidRPr="008623FD">
        <w:rPr>
          <w:rFonts w:cs="Times New Roman"/>
          <w:sz w:val="22"/>
          <w:szCs w:val="22"/>
        </w:rPr>
        <w:t xml:space="preserve">notamment </w:t>
      </w:r>
      <w:r w:rsidRPr="008623FD">
        <w:rPr>
          <w:rFonts w:cs="Times New Roman"/>
          <w:sz w:val="22"/>
          <w:szCs w:val="22"/>
        </w:rPr>
        <w:t>aller + indicatif) ; l’usage du futur est prohibé en histoire, qui est une science d’étude du passé</w:t>
      </w:r>
      <w:r w:rsidR="00A801F9" w:rsidRPr="008623FD">
        <w:rPr>
          <w:rFonts w:cs="Times New Roman"/>
          <w:sz w:val="22"/>
          <w:szCs w:val="22"/>
        </w:rPr>
        <w:t xml:space="preserve"> ; </w:t>
      </w:r>
      <w:r w:rsidRPr="008623FD">
        <w:rPr>
          <w:rFonts w:cs="Times New Roman"/>
          <w:sz w:val="22"/>
          <w:szCs w:val="22"/>
        </w:rPr>
        <w:t xml:space="preserve"> </w:t>
      </w:r>
    </w:p>
    <w:p w14:paraId="00A6818F" w14:textId="77777777" w:rsidR="00641FD3" w:rsidRPr="008623FD" w:rsidRDefault="00641FD3" w:rsidP="00641FD3">
      <w:pPr>
        <w:pStyle w:val="Notes"/>
        <w:numPr>
          <w:ilvl w:val="0"/>
          <w:numId w:val="2"/>
        </w:numPr>
        <w:spacing w:after="80" w:line="276" w:lineRule="auto"/>
        <w:rPr>
          <w:rFonts w:cs="Times New Roman"/>
          <w:sz w:val="22"/>
          <w:szCs w:val="22"/>
        </w:rPr>
      </w:pPr>
      <w:r w:rsidRPr="008623FD">
        <w:rPr>
          <w:rFonts w:cs="Times New Roman"/>
          <w:sz w:val="22"/>
          <w:szCs w:val="22"/>
        </w:rPr>
        <w:t xml:space="preserve">Des </w:t>
      </w:r>
      <w:r w:rsidRPr="008623FD">
        <w:rPr>
          <w:rFonts w:cs="Times New Roman"/>
          <w:b/>
          <w:sz w:val="22"/>
          <w:szCs w:val="22"/>
        </w:rPr>
        <w:t>faux-sens</w:t>
      </w:r>
      <w:r w:rsidR="002E1F27" w:rsidRPr="008623FD">
        <w:rPr>
          <w:rFonts w:cs="Times New Roman"/>
          <w:b/>
          <w:sz w:val="22"/>
          <w:szCs w:val="22"/>
        </w:rPr>
        <w:t xml:space="preserve"> </w:t>
      </w:r>
      <w:r w:rsidR="002E1F27" w:rsidRPr="008623FD">
        <w:rPr>
          <w:rFonts w:cs="Times New Roman"/>
          <w:sz w:val="22"/>
          <w:szCs w:val="22"/>
        </w:rPr>
        <w:t xml:space="preserve">et des </w:t>
      </w:r>
      <w:r w:rsidR="002E1F27" w:rsidRPr="008623FD">
        <w:rPr>
          <w:rFonts w:cs="Times New Roman"/>
          <w:b/>
          <w:sz w:val="22"/>
          <w:szCs w:val="22"/>
        </w:rPr>
        <w:t>contre-sens</w:t>
      </w:r>
      <w:r w:rsidRPr="008623FD">
        <w:rPr>
          <w:rFonts w:cs="Times New Roman"/>
          <w:sz w:val="22"/>
          <w:szCs w:val="22"/>
        </w:rPr>
        <w:t>, c’est-à-dire d’éléments de commentaire faisant dire à la source</w:t>
      </w:r>
      <w:r w:rsidR="002E1F27" w:rsidRPr="008623FD">
        <w:rPr>
          <w:rFonts w:cs="Times New Roman"/>
          <w:sz w:val="22"/>
          <w:szCs w:val="22"/>
        </w:rPr>
        <w:t xml:space="preserve"> quelque chose qu</w:t>
      </w:r>
      <w:r w:rsidR="00525EA9" w:rsidRPr="008623FD">
        <w:rPr>
          <w:rFonts w:cs="Times New Roman"/>
          <w:sz w:val="22"/>
          <w:szCs w:val="22"/>
        </w:rPr>
        <w:t>’il n’y est pas écrit</w:t>
      </w:r>
      <w:r w:rsidR="002E1F27" w:rsidRPr="008623FD">
        <w:rPr>
          <w:rFonts w:cs="Times New Roman"/>
          <w:sz w:val="22"/>
          <w:szCs w:val="22"/>
        </w:rPr>
        <w:t xml:space="preserve">, voire </w:t>
      </w:r>
      <w:r w:rsidRPr="008623FD">
        <w:rPr>
          <w:rFonts w:cs="Times New Roman"/>
          <w:i/>
          <w:sz w:val="22"/>
          <w:szCs w:val="22"/>
        </w:rPr>
        <w:t>l’exacte opposée</w:t>
      </w:r>
      <w:r w:rsidRPr="008623FD">
        <w:rPr>
          <w:rFonts w:cs="Times New Roman"/>
          <w:sz w:val="22"/>
          <w:szCs w:val="22"/>
        </w:rPr>
        <w:t xml:space="preserve"> de ce qu’il y est écrit ; </w:t>
      </w:r>
    </w:p>
    <w:p w14:paraId="0EC4F164" w14:textId="77777777" w:rsidR="00641FD3" w:rsidRPr="008623FD" w:rsidRDefault="00641FD3" w:rsidP="00641FD3">
      <w:pPr>
        <w:pStyle w:val="Notes"/>
        <w:numPr>
          <w:ilvl w:val="0"/>
          <w:numId w:val="2"/>
        </w:numPr>
        <w:spacing w:after="80" w:line="276" w:lineRule="auto"/>
        <w:rPr>
          <w:rFonts w:cs="Times New Roman"/>
          <w:sz w:val="22"/>
          <w:szCs w:val="22"/>
        </w:rPr>
      </w:pPr>
      <w:r w:rsidRPr="008623FD">
        <w:rPr>
          <w:rFonts w:cs="Times New Roman"/>
          <w:sz w:val="22"/>
          <w:szCs w:val="22"/>
        </w:rPr>
        <w:t xml:space="preserve">Des formes diverses de </w:t>
      </w:r>
      <w:r w:rsidRPr="008623FD">
        <w:rPr>
          <w:rFonts w:cs="Times New Roman"/>
          <w:b/>
          <w:sz w:val="22"/>
          <w:szCs w:val="22"/>
        </w:rPr>
        <w:t>paraphrase</w:t>
      </w:r>
      <w:r w:rsidRPr="008623FD">
        <w:rPr>
          <w:rFonts w:cs="Times New Roman"/>
          <w:sz w:val="22"/>
          <w:szCs w:val="22"/>
        </w:rPr>
        <w:t>, c’est-à-dire de reformulations sans explication de la source à commenter</w:t>
      </w:r>
      <w:r w:rsidR="00A801F9" w:rsidRPr="008623FD">
        <w:rPr>
          <w:rFonts w:cs="Times New Roman"/>
          <w:sz w:val="22"/>
          <w:szCs w:val="22"/>
        </w:rPr>
        <w:t xml:space="preserve"> ; </w:t>
      </w:r>
    </w:p>
    <w:p w14:paraId="346D43C6" w14:textId="77777777" w:rsidR="00AF5655" w:rsidRPr="008623FD" w:rsidRDefault="00B86763" w:rsidP="00641FD3">
      <w:pPr>
        <w:pStyle w:val="Notes"/>
        <w:numPr>
          <w:ilvl w:val="0"/>
          <w:numId w:val="2"/>
        </w:numPr>
        <w:spacing w:after="80" w:line="276" w:lineRule="auto"/>
        <w:rPr>
          <w:rFonts w:cs="Times New Roman"/>
          <w:sz w:val="22"/>
          <w:szCs w:val="22"/>
        </w:rPr>
      </w:pPr>
      <w:r w:rsidRPr="008623FD">
        <w:rPr>
          <w:rFonts w:cs="Times New Roman"/>
          <w:sz w:val="22"/>
          <w:szCs w:val="22"/>
        </w:rPr>
        <w:t>Des restitutions de cours</w:t>
      </w:r>
      <w:r w:rsidR="00AF5655" w:rsidRPr="008623FD">
        <w:rPr>
          <w:rFonts w:cs="Times New Roman"/>
          <w:sz w:val="22"/>
          <w:szCs w:val="22"/>
        </w:rPr>
        <w:t xml:space="preserve"> sans rapport direct avec le sujet traité (</w:t>
      </w:r>
      <w:r w:rsidR="00AF5655" w:rsidRPr="008623FD">
        <w:rPr>
          <w:rFonts w:cs="Times New Roman"/>
          <w:b/>
          <w:sz w:val="22"/>
          <w:szCs w:val="22"/>
        </w:rPr>
        <w:t>hors sujet</w:t>
      </w:r>
      <w:r w:rsidR="00AF5655" w:rsidRPr="008623FD">
        <w:rPr>
          <w:rFonts w:cs="Times New Roman"/>
          <w:sz w:val="22"/>
          <w:szCs w:val="22"/>
        </w:rPr>
        <w:t xml:space="preserve"> et/ou </w:t>
      </w:r>
      <w:r w:rsidR="00AF5655" w:rsidRPr="008623FD">
        <w:rPr>
          <w:rFonts w:cs="Times New Roman"/>
          <w:b/>
          <w:sz w:val="22"/>
          <w:szCs w:val="22"/>
        </w:rPr>
        <w:t>dissertation à propos</w:t>
      </w:r>
      <w:r w:rsidR="00AF5655" w:rsidRPr="008623FD">
        <w:rPr>
          <w:rFonts w:cs="Times New Roman"/>
          <w:sz w:val="22"/>
          <w:szCs w:val="22"/>
        </w:rPr>
        <w:t>) </w:t>
      </w:r>
      <w:r w:rsidR="00A801F9" w:rsidRPr="008623FD">
        <w:rPr>
          <w:rFonts w:cs="Times New Roman"/>
          <w:sz w:val="22"/>
          <w:szCs w:val="22"/>
        </w:rPr>
        <w:t xml:space="preserve">; </w:t>
      </w:r>
    </w:p>
    <w:p w14:paraId="5ECDDBFB" w14:textId="77777777" w:rsidR="00BF0573" w:rsidRPr="008623FD" w:rsidRDefault="00AF5655" w:rsidP="00641FD3">
      <w:pPr>
        <w:pStyle w:val="Notes"/>
        <w:numPr>
          <w:ilvl w:val="0"/>
          <w:numId w:val="2"/>
        </w:numPr>
        <w:spacing w:after="80" w:line="276" w:lineRule="auto"/>
        <w:rPr>
          <w:rFonts w:cs="Times New Roman"/>
          <w:sz w:val="22"/>
          <w:szCs w:val="22"/>
        </w:rPr>
      </w:pPr>
      <w:r w:rsidRPr="008623FD">
        <w:rPr>
          <w:rFonts w:cs="Times New Roman"/>
          <w:sz w:val="22"/>
          <w:szCs w:val="22"/>
        </w:rPr>
        <w:t xml:space="preserve">De </w:t>
      </w:r>
      <w:r w:rsidR="00BB7873" w:rsidRPr="008623FD">
        <w:rPr>
          <w:rFonts w:cs="Times New Roman"/>
          <w:sz w:val="22"/>
          <w:szCs w:val="22"/>
        </w:rPr>
        <w:t>l’écriture sous un</w:t>
      </w:r>
      <w:r w:rsidRPr="008623FD">
        <w:rPr>
          <w:rFonts w:cs="Times New Roman"/>
          <w:sz w:val="22"/>
          <w:szCs w:val="22"/>
        </w:rPr>
        <w:t xml:space="preserve"> </w:t>
      </w:r>
      <w:r w:rsidRPr="008623FD">
        <w:rPr>
          <w:rFonts w:cs="Times New Roman"/>
          <w:b/>
          <w:sz w:val="22"/>
          <w:szCs w:val="22"/>
        </w:rPr>
        <w:t>ton emphatique</w:t>
      </w:r>
      <w:r w:rsidRPr="008623FD">
        <w:rPr>
          <w:rFonts w:cs="Times New Roman"/>
          <w:sz w:val="22"/>
          <w:szCs w:val="22"/>
        </w:rPr>
        <w:t xml:space="preserve"> </w:t>
      </w:r>
      <w:r w:rsidRPr="008623FD">
        <w:rPr>
          <w:rFonts w:cs="Times New Roman"/>
          <w:b/>
          <w:sz w:val="22"/>
          <w:szCs w:val="22"/>
        </w:rPr>
        <w:t>et/ou</w:t>
      </w:r>
      <w:r w:rsidRPr="008623FD">
        <w:rPr>
          <w:rFonts w:cs="Times New Roman"/>
          <w:sz w:val="22"/>
          <w:szCs w:val="22"/>
        </w:rPr>
        <w:t xml:space="preserve"> </w:t>
      </w:r>
      <w:r w:rsidRPr="008623FD">
        <w:rPr>
          <w:rFonts w:cs="Times New Roman"/>
          <w:b/>
          <w:sz w:val="22"/>
          <w:szCs w:val="22"/>
        </w:rPr>
        <w:t>ampoulé</w:t>
      </w:r>
      <w:r w:rsidRPr="008623FD">
        <w:rPr>
          <w:rFonts w:cs="Times New Roman"/>
          <w:sz w:val="22"/>
          <w:szCs w:val="22"/>
        </w:rPr>
        <w:t xml:space="preserve"> (grandiloquence, adjectifs abusifs, jugements de valeur, usages impropres de concepts, vocabulaire </w:t>
      </w:r>
      <w:r w:rsidR="00BF220D" w:rsidRPr="008623FD">
        <w:rPr>
          <w:rFonts w:cs="Times New Roman"/>
          <w:sz w:val="22"/>
          <w:szCs w:val="22"/>
        </w:rPr>
        <w:t xml:space="preserve">trop </w:t>
      </w:r>
      <w:r w:rsidRPr="008623FD">
        <w:rPr>
          <w:rFonts w:cs="Times New Roman"/>
          <w:sz w:val="22"/>
          <w:szCs w:val="22"/>
        </w:rPr>
        <w:t xml:space="preserve">théorique, etc.) ; </w:t>
      </w:r>
    </w:p>
    <w:p w14:paraId="1A7D1499" w14:textId="77777777" w:rsidR="00E35AAA" w:rsidRPr="008623FD" w:rsidRDefault="00E35AAA" w:rsidP="00641FD3">
      <w:pPr>
        <w:pStyle w:val="Notes"/>
        <w:numPr>
          <w:ilvl w:val="0"/>
          <w:numId w:val="2"/>
        </w:numPr>
        <w:spacing w:after="80" w:line="276" w:lineRule="auto"/>
        <w:rPr>
          <w:rFonts w:cs="Times New Roman"/>
          <w:sz w:val="22"/>
          <w:szCs w:val="22"/>
        </w:rPr>
      </w:pPr>
      <w:r w:rsidRPr="008623FD">
        <w:rPr>
          <w:rFonts w:cs="Times New Roman"/>
          <w:sz w:val="22"/>
          <w:szCs w:val="22"/>
        </w:rPr>
        <w:t xml:space="preserve">Des </w:t>
      </w:r>
      <w:r w:rsidRPr="008623FD">
        <w:rPr>
          <w:rFonts w:cs="Times New Roman"/>
          <w:b/>
          <w:sz w:val="22"/>
          <w:szCs w:val="22"/>
        </w:rPr>
        <w:t>réflexions téléologique</w:t>
      </w:r>
      <w:r w:rsidR="006827A7" w:rsidRPr="008623FD">
        <w:rPr>
          <w:rFonts w:cs="Times New Roman"/>
          <w:b/>
          <w:sz w:val="22"/>
          <w:szCs w:val="22"/>
        </w:rPr>
        <w:t>s</w:t>
      </w:r>
      <w:r w:rsidRPr="008623FD">
        <w:rPr>
          <w:rFonts w:cs="Times New Roman"/>
          <w:sz w:val="22"/>
          <w:szCs w:val="22"/>
        </w:rPr>
        <w:t xml:space="preserve">, c’est-à-dire </w:t>
      </w:r>
      <w:r w:rsidR="006827A7" w:rsidRPr="008623FD">
        <w:rPr>
          <w:rFonts w:cs="Times New Roman"/>
          <w:sz w:val="22"/>
          <w:szCs w:val="22"/>
        </w:rPr>
        <w:t xml:space="preserve">de l’explication du passé par son futur, ou encore des jugements de valeurs sur le « sens » de l’histoire ou la « modernité » et le « progrès », </w:t>
      </w:r>
      <w:r w:rsidR="008623FD">
        <w:rPr>
          <w:rFonts w:cs="Times New Roman"/>
          <w:sz w:val="22"/>
          <w:szCs w:val="22"/>
        </w:rPr>
        <w:t>qui</w:t>
      </w:r>
      <w:r w:rsidR="00BF220D" w:rsidRPr="008623FD">
        <w:rPr>
          <w:rFonts w:cs="Times New Roman"/>
          <w:sz w:val="22"/>
          <w:szCs w:val="22"/>
        </w:rPr>
        <w:t xml:space="preserve"> relèvent du jugement de valeur et/ou de l’anachronisme ; </w:t>
      </w:r>
    </w:p>
    <w:p w14:paraId="4B8BFCA9" w14:textId="77777777" w:rsidR="000E51CF" w:rsidRPr="008623FD" w:rsidRDefault="00BF0573" w:rsidP="00BB7873">
      <w:pPr>
        <w:pStyle w:val="Notes"/>
        <w:numPr>
          <w:ilvl w:val="0"/>
          <w:numId w:val="2"/>
        </w:numPr>
        <w:spacing w:after="80" w:line="276" w:lineRule="auto"/>
        <w:rPr>
          <w:rFonts w:cs="Times New Roman"/>
          <w:sz w:val="22"/>
          <w:szCs w:val="22"/>
        </w:rPr>
      </w:pPr>
      <w:r w:rsidRPr="008623FD">
        <w:rPr>
          <w:rFonts w:cs="Times New Roman"/>
          <w:sz w:val="22"/>
          <w:szCs w:val="22"/>
        </w:rPr>
        <w:t xml:space="preserve">Des </w:t>
      </w:r>
      <w:r w:rsidRPr="008623FD">
        <w:rPr>
          <w:rFonts w:cs="Times New Roman"/>
          <w:b/>
          <w:sz w:val="22"/>
          <w:szCs w:val="22"/>
        </w:rPr>
        <w:t>formes trop scolaires de rédaction</w:t>
      </w:r>
      <w:r w:rsidRPr="008623FD">
        <w:rPr>
          <w:rFonts w:cs="Times New Roman"/>
          <w:sz w:val="22"/>
          <w:szCs w:val="22"/>
        </w:rPr>
        <w:t xml:space="preserve">, dont l’usage du « nous verrons … » et </w:t>
      </w:r>
      <w:r w:rsidR="00BB7873" w:rsidRPr="008623FD">
        <w:rPr>
          <w:rFonts w:cs="Times New Roman"/>
          <w:sz w:val="22"/>
          <w:szCs w:val="22"/>
        </w:rPr>
        <w:t>d’</w:t>
      </w:r>
      <w:r w:rsidRPr="008623FD">
        <w:rPr>
          <w:rFonts w:cs="Times New Roman"/>
          <w:sz w:val="22"/>
          <w:szCs w:val="22"/>
        </w:rPr>
        <w:t>autres formules similaires, notamment au moment de la problématique, de l’annonce de plan, des chapeaux de parties et des transitions entre les parties</w:t>
      </w:r>
      <w:r w:rsidR="001A4E3C" w:rsidRPr="008623FD">
        <w:rPr>
          <w:rFonts w:cs="Times New Roman"/>
          <w:sz w:val="22"/>
          <w:szCs w:val="22"/>
        </w:rPr>
        <w:t> ;</w:t>
      </w:r>
      <w:r w:rsidR="00BF220D" w:rsidRPr="008623FD">
        <w:rPr>
          <w:rFonts w:cs="Times New Roman"/>
          <w:sz w:val="22"/>
          <w:szCs w:val="22"/>
          <w:u w:val="single"/>
        </w:rPr>
        <w:t xml:space="preserve"> </w:t>
      </w:r>
      <w:r w:rsidR="001A4E3C" w:rsidRPr="008623FD">
        <w:rPr>
          <w:rFonts w:cs="Times New Roman"/>
          <w:sz w:val="22"/>
          <w:szCs w:val="22"/>
        </w:rPr>
        <w:t xml:space="preserve"> </w:t>
      </w:r>
    </w:p>
    <w:p w14:paraId="5468B962" w14:textId="77777777" w:rsidR="00BB7873" w:rsidRPr="008623FD" w:rsidRDefault="00BB7873" w:rsidP="008623FD">
      <w:pPr>
        <w:pStyle w:val="Notes"/>
        <w:spacing w:before="120" w:after="80" w:line="276" w:lineRule="auto"/>
        <w:rPr>
          <w:rFonts w:cs="Times New Roman"/>
          <w:sz w:val="22"/>
          <w:szCs w:val="22"/>
        </w:rPr>
      </w:pPr>
      <w:r w:rsidRPr="008623FD">
        <w:rPr>
          <w:rFonts w:cs="Times New Roman"/>
          <w:sz w:val="22"/>
          <w:szCs w:val="22"/>
        </w:rPr>
        <w:t xml:space="preserve">Des </w:t>
      </w:r>
      <w:r w:rsidRPr="008623FD">
        <w:rPr>
          <w:rFonts w:cs="Times New Roman"/>
          <w:b/>
          <w:sz w:val="22"/>
          <w:szCs w:val="22"/>
        </w:rPr>
        <w:t>grilles détaillées de correction</w:t>
      </w:r>
      <w:r w:rsidRPr="008623FD">
        <w:rPr>
          <w:rFonts w:cs="Times New Roman"/>
          <w:sz w:val="22"/>
          <w:szCs w:val="22"/>
        </w:rPr>
        <w:t xml:space="preserve"> sont disponibles </w:t>
      </w:r>
      <w:r w:rsidR="00BF26BF" w:rsidRPr="008623FD">
        <w:rPr>
          <w:rFonts w:cs="Times New Roman"/>
          <w:sz w:val="22"/>
          <w:szCs w:val="22"/>
        </w:rPr>
        <w:t>au fil</w:t>
      </w:r>
      <w:r w:rsidRPr="008623FD">
        <w:rPr>
          <w:rFonts w:cs="Times New Roman"/>
          <w:sz w:val="22"/>
          <w:szCs w:val="22"/>
        </w:rPr>
        <w:t xml:space="preserve"> de ce fichier de TD. Les étudiants sont invités à en prendre connaissance avant les évaluations : ces outils leur donnent les attendus face à un commentaire ou une dissertation et leur permettent de s’améliorer rapidement. </w:t>
      </w:r>
    </w:p>
    <w:p w14:paraId="509CC436" w14:textId="77777777" w:rsidR="00641FD3" w:rsidRPr="00663C8E" w:rsidRDefault="00641FD3" w:rsidP="00663C8E">
      <w:pPr>
        <w:pStyle w:val="Notes"/>
        <w:spacing w:after="80" w:line="276" w:lineRule="auto"/>
        <w:rPr>
          <w:rFonts w:cs="Times New Roman"/>
          <w:sz w:val="23"/>
          <w:szCs w:val="23"/>
        </w:rPr>
        <w:sectPr w:rsidR="00641FD3" w:rsidRPr="00663C8E" w:rsidSect="0007453F">
          <w:type w:val="continuous"/>
          <w:pgSz w:w="11905" w:h="16837"/>
          <w:pgMar w:top="787" w:right="1417" w:bottom="1417" w:left="1417" w:header="708" w:footer="708" w:gutter="0"/>
          <w:cols w:space="708"/>
          <w:docGrid w:linePitch="360"/>
        </w:sectPr>
      </w:pPr>
    </w:p>
    <w:p w14:paraId="29201CC4" w14:textId="77777777" w:rsidR="007527ED" w:rsidRPr="00607133" w:rsidRDefault="003A1412" w:rsidP="007527ED">
      <w:pPr>
        <w:pStyle w:val="Titre"/>
        <w:rPr>
          <w:sz w:val="28"/>
        </w:rPr>
      </w:pPr>
      <w:r w:rsidRPr="00607133">
        <w:rPr>
          <w:sz w:val="28"/>
        </w:rPr>
        <w:lastRenderedPageBreak/>
        <w:t>Séance 1</w:t>
      </w:r>
      <w:r w:rsidR="00DB1E52" w:rsidRPr="00607133">
        <w:rPr>
          <w:sz w:val="28"/>
        </w:rPr>
        <w:t>. Versailles, symbole de l’absolutisme ?</w:t>
      </w:r>
    </w:p>
    <w:p w14:paraId="4FFC5A2D" w14:textId="77777777" w:rsidR="007527ED" w:rsidRPr="00607133" w:rsidRDefault="00311611" w:rsidP="002351B5">
      <w:pPr>
        <w:pStyle w:val="Sansinterligne"/>
        <w:spacing w:before="120" w:after="120"/>
      </w:pPr>
      <w:r>
        <w:t>Source.</w:t>
      </w:r>
      <w:r w:rsidR="007527ED" w:rsidRPr="00607133">
        <w:t xml:space="preserve"> Plan anonyme de</w:t>
      </w:r>
      <w:r>
        <w:t xml:space="preserve"> la ville de</w:t>
      </w:r>
      <w:r w:rsidR="007527ED" w:rsidRPr="00607133">
        <w:t xml:space="preserve"> Versailles </w:t>
      </w:r>
      <w:r>
        <w:t>(</w:t>
      </w:r>
      <w:r w:rsidR="007527ED" w:rsidRPr="00607133">
        <w:t>1685</w:t>
      </w:r>
      <w:r>
        <w:t>)</w:t>
      </w:r>
    </w:p>
    <w:p w14:paraId="1F1C5B6C" w14:textId="77777777" w:rsidR="007527ED" w:rsidRPr="00607133" w:rsidRDefault="002351B5" w:rsidP="002351B5">
      <w:pPr>
        <w:pStyle w:val="Notes"/>
        <w:spacing w:before="240"/>
        <w:ind w:left="-284"/>
      </w:pPr>
      <w:r w:rsidRPr="00607133">
        <w:rPr>
          <w:noProof/>
        </w:rPr>
        <w:drawing>
          <wp:inline distT="0" distB="0" distL="0" distR="0" wp14:anchorId="295B0D6B" wp14:editId="251E96D7">
            <wp:extent cx="7972567" cy="6239178"/>
            <wp:effectExtent l="15875" t="9525"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v1b53128550t_f1.jpg"/>
                    <pic:cNvPicPr/>
                  </pic:nvPicPr>
                  <pic:blipFill rotWithShape="1">
                    <a:blip r:embed="rId9" cstate="print">
                      <a:extLst>
                        <a:ext uri="{28A0092B-C50C-407E-A947-70E740481C1C}">
                          <a14:useLocalDpi xmlns:a14="http://schemas.microsoft.com/office/drawing/2010/main" val="0"/>
                        </a:ext>
                      </a:extLst>
                    </a:blip>
                    <a:srcRect l="9219" t="2252" r="10022" b="4470"/>
                    <a:stretch/>
                  </pic:blipFill>
                  <pic:spPr bwMode="auto">
                    <a:xfrm rot="16200000">
                      <a:off x="0" y="0"/>
                      <a:ext cx="8009831" cy="62683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EC075E" w14:textId="77777777" w:rsidR="00FD3214" w:rsidRPr="00CC7FE2" w:rsidRDefault="00311611" w:rsidP="009A7D72">
      <w:pPr>
        <w:pStyle w:val="Notes"/>
        <w:spacing w:before="120"/>
        <w:ind w:left="-284" w:right="-427"/>
        <w:jc w:val="right"/>
        <w:rPr>
          <w:sz w:val="18"/>
        </w:rPr>
      </w:pPr>
      <w:r>
        <w:rPr>
          <w:sz w:val="18"/>
        </w:rPr>
        <w:t>C</w:t>
      </w:r>
      <w:r w:rsidR="002351B5" w:rsidRPr="00CC7FE2">
        <w:rPr>
          <w:sz w:val="18"/>
        </w:rPr>
        <w:t xml:space="preserve">artographie imprimée </w:t>
      </w:r>
      <w:r>
        <w:rPr>
          <w:sz w:val="18"/>
        </w:rPr>
        <w:t>puis</w:t>
      </w:r>
      <w:r w:rsidR="002351B5" w:rsidRPr="00CC7FE2">
        <w:rPr>
          <w:sz w:val="18"/>
        </w:rPr>
        <w:t xml:space="preserve"> annotée à la main, 89 x 59 cm, </w:t>
      </w:r>
      <w:r w:rsidR="002351B5" w:rsidRPr="00CC7FE2">
        <w:rPr>
          <w:sz w:val="18"/>
        </w:rPr>
        <w:br/>
        <w:t xml:space="preserve">Bibliothèque nationale de France, département Cartes et plans, GE C-4094, </w:t>
      </w:r>
      <w:r w:rsidR="002351B5" w:rsidRPr="00CC7FE2">
        <w:rPr>
          <w:sz w:val="18"/>
        </w:rPr>
        <w:br/>
      </w:r>
      <w:r w:rsidR="002351B5" w:rsidRPr="00CC7FE2">
        <w:rPr>
          <w:rFonts w:cs="Times New Roman"/>
          <w:sz w:val="18"/>
        </w:rPr>
        <w:t xml:space="preserve">[En ligne] : </w:t>
      </w:r>
      <w:hyperlink r:id="rId10" w:history="1">
        <w:r w:rsidR="002351B5" w:rsidRPr="00CC7FE2">
          <w:rPr>
            <w:rStyle w:val="Lienhypertexte"/>
            <w:rFonts w:cs="Times New Roman"/>
            <w:color w:val="000000" w:themeColor="text1"/>
            <w:sz w:val="18"/>
          </w:rPr>
          <w:t>https://gallica.bnf.fr/ark:/12148/btv1b530636814/</w:t>
        </w:r>
      </w:hyperlink>
      <w:r w:rsidR="002351B5" w:rsidRPr="00CC7FE2">
        <w:rPr>
          <w:rFonts w:cs="Times New Roman"/>
          <w:sz w:val="18"/>
        </w:rPr>
        <w:t>.</w:t>
      </w:r>
    </w:p>
    <w:p w14:paraId="02E35F6B" w14:textId="77777777" w:rsidR="007527ED" w:rsidRPr="00607133" w:rsidRDefault="007527ED" w:rsidP="00AA2A12">
      <w:pPr>
        <w:pStyle w:val="Sansinterligne"/>
        <w:spacing w:after="180"/>
      </w:pPr>
      <w:r w:rsidRPr="00607133">
        <w:lastRenderedPageBreak/>
        <w:t xml:space="preserve">Bibliographie </w:t>
      </w:r>
      <w:r w:rsidR="00F24B45">
        <w:t>indicative</w:t>
      </w:r>
      <w:r w:rsidRPr="00607133">
        <w:t xml:space="preserve"> </w:t>
      </w:r>
    </w:p>
    <w:p w14:paraId="67D03D2C" w14:textId="77777777" w:rsidR="00FA0D58" w:rsidRPr="00F24B45" w:rsidRDefault="00AE39A9" w:rsidP="00AA2A12">
      <w:pPr>
        <w:pStyle w:val="Biblio"/>
        <w:spacing w:before="60" w:after="60"/>
        <w:rPr>
          <w:sz w:val="20"/>
          <w:szCs w:val="22"/>
        </w:rPr>
      </w:pPr>
      <w:proofErr w:type="spellStart"/>
      <w:r w:rsidRPr="00F24B45">
        <w:rPr>
          <w:smallCaps/>
          <w:sz w:val="20"/>
          <w:szCs w:val="22"/>
        </w:rPr>
        <w:t>Bély</w:t>
      </w:r>
      <w:proofErr w:type="spellEnd"/>
      <w:r w:rsidRPr="00F24B45">
        <w:rPr>
          <w:sz w:val="20"/>
          <w:szCs w:val="22"/>
        </w:rPr>
        <w:t xml:space="preserve">, </w:t>
      </w:r>
      <w:r w:rsidR="00482722" w:rsidRPr="00F24B45">
        <w:rPr>
          <w:sz w:val="20"/>
          <w:szCs w:val="22"/>
        </w:rPr>
        <w:t xml:space="preserve">Lucien, </w:t>
      </w:r>
      <w:r w:rsidRPr="00F24B45">
        <w:rPr>
          <w:sz w:val="20"/>
          <w:szCs w:val="22"/>
        </w:rPr>
        <w:t xml:space="preserve">« Versailles », dans </w:t>
      </w:r>
      <w:r w:rsidRPr="00F24B45">
        <w:rPr>
          <w:smallCaps/>
          <w:sz w:val="20"/>
          <w:szCs w:val="22"/>
        </w:rPr>
        <w:t>Id</w:t>
      </w:r>
      <w:r w:rsidRPr="00F24B45">
        <w:rPr>
          <w:sz w:val="20"/>
          <w:szCs w:val="22"/>
        </w:rPr>
        <w:t xml:space="preserve">., </w:t>
      </w:r>
      <w:r w:rsidRPr="00F24B45">
        <w:rPr>
          <w:i/>
          <w:sz w:val="20"/>
          <w:szCs w:val="22"/>
        </w:rPr>
        <w:t>Dictionnaire Louis XIV</w:t>
      </w:r>
      <w:r w:rsidRPr="00F24B45">
        <w:rPr>
          <w:sz w:val="20"/>
          <w:szCs w:val="22"/>
        </w:rPr>
        <w:t xml:space="preserve">, Paris, Robert Laffont, 2015, p. 1325-1329. </w:t>
      </w:r>
    </w:p>
    <w:p w14:paraId="3AC7AEC2" w14:textId="77777777" w:rsidR="007527ED" w:rsidRPr="00F24B45" w:rsidRDefault="00FA0D58" w:rsidP="00AA2A12">
      <w:pPr>
        <w:pStyle w:val="Biblio"/>
        <w:spacing w:before="60" w:after="60"/>
        <w:rPr>
          <w:sz w:val="20"/>
        </w:rPr>
      </w:pPr>
      <w:r w:rsidRPr="00F24B45">
        <w:rPr>
          <w:smallCaps/>
          <w:sz w:val="20"/>
          <w:szCs w:val="22"/>
        </w:rPr>
        <w:t xml:space="preserve">Da </w:t>
      </w:r>
      <w:proofErr w:type="spellStart"/>
      <w:r w:rsidRPr="00F24B45">
        <w:rPr>
          <w:smallCaps/>
          <w:sz w:val="20"/>
          <w:szCs w:val="22"/>
        </w:rPr>
        <w:t>Vinha</w:t>
      </w:r>
      <w:proofErr w:type="spellEnd"/>
      <w:r w:rsidRPr="00F24B45">
        <w:rPr>
          <w:sz w:val="20"/>
          <w:szCs w:val="22"/>
        </w:rPr>
        <w:t xml:space="preserve">, Matthieu, </w:t>
      </w:r>
      <w:r w:rsidRPr="00F24B45">
        <w:rPr>
          <w:i/>
          <w:sz w:val="20"/>
          <w:szCs w:val="22"/>
        </w:rPr>
        <w:t>Au service du roi. Dans les coulisses de Versailles</w:t>
      </w:r>
      <w:r w:rsidRPr="00F24B45">
        <w:rPr>
          <w:sz w:val="20"/>
          <w:szCs w:val="22"/>
        </w:rPr>
        <w:t>, Paris, Tallandier, 2015.</w:t>
      </w:r>
      <w:r w:rsidR="002351B5" w:rsidRPr="00F24B45">
        <w:rPr>
          <w:sz w:val="20"/>
          <w:szCs w:val="22"/>
        </w:rPr>
        <w:t xml:space="preserve"> </w:t>
      </w:r>
    </w:p>
    <w:p w14:paraId="198816EE" w14:textId="77777777" w:rsidR="00482722" w:rsidRPr="00F24B45" w:rsidRDefault="00482722" w:rsidP="00AA2A12">
      <w:pPr>
        <w:pStyle w:val="Biblio"/>
        <w:spacing w:before="60" w:after="60"/>
        <w:rPr>
          <w:sz w:val="20"/>
        </w:rPr>
      </w:pPr>
      <w:proofErr w:type="spellStart"/>
      <w:r w:rsidRPr="00F24B45">
        <w:rPr>
          <w:smallCaps/>
          <w:sz w:val="20"/>
        </w:rPr>
        <w:t>Verlet</w:t>
      </w:r>
      <w:proofErr w:type="spellEnd"/>
      <w:r w:rsidRPr="00F24B45">
        <w:rPr>
          <w:sz w:val="20"/>
        </w:rPr>
        <w:t xml:space="preserve">, Pierre, </w:t>
      </w:r>
      <w:r w:rsidRPr="00F24B45">
        <w:rPr>
          <w:i/>
          <w:sz w:val="20"/>
        </w:rPr>
        <w:t>Le château de Versailles</w:t>
      </w:r>
      <w:r w:rsidRPr="00F24B45">
        <w:rPr>
          <w:sz w:val="20"/>
        </w:rPr>
        <w:t xml:space="preserve">, Paris, Fayard, 1985. </w:t>
      </w:r>
    </w:p>
    <w:p w14:paraId="14E462C2" w14:textId="77777777" w:rsidR="00A4421C" w:rsidRPr="00F24B45" w:rsidRDefault="00BC259F" w:rsidP="00AA2A12">
      <w:pPr>
        <w:pStyle w:val="Biblio"/>
        <w:spacing w:before="60" w:after="60"/>
        <w:rPr>
          <w:sz w:val="20"/>
        </w:rPr>
      </w:pPr>
      <w:r w:rsidRPr="00F24B45">
        <w:rPr>
          <w:smallCaps/>
          <w:sz w:val="20"/>
          <w:lang w:val="en-US"/>
        </w:rPr>
        <w:t>Newton</w:t>
      </w:r>
      <w:r w:rsidRPr="00F24B45">
        <w:rPr>
          <w:sz w:val="20"/>
          <w:lang w:val="en-US"/>
        </w:rPr>
        <w:t>, William R</w:t>
      </w:r>
      <w:r w:rsidR="00336174" w:rsidRPr="00F24B45">
        <w:rPr>
          <w:sz w:val="20"/>
          <w:lang w:val="en-US"/>
        </w:rPr>
        <w:t>itchey</w:t>
      </w:r>
      <w:r w:rsidRPr="00F24B45">
        <w:rPr>
          <w:sz w:val="20"/>
          <w:lang w:val="en-US"/>
        </w:rPr>
        <w:t xml:space="preserve">, </w:t>
      </w:r>
      <w:proofErr w:type="spellStart"/>
      <w:r w:rsidRPr="00F24B45">
        <w:rPr>
          <w:i/>
          <w:sz w:val="20"/>
          <w:lang w:val="en-US"/>
        </w:rPr>
        <w:t>L’espace</w:t>
      </w:r>
      <w:proofErr w:type="spellEnd"/>
      <w:r w:rsidRPr="00F24B45">
        <w:rPr>
          <w:i/>
          <w:sz w:val="20"/>
          <w:lang w:val="en-US"/>
        </w:rPr>
        <w:t xml:space="preserve"> du </w:t>
      </w:r>
      <w:proofErr w:type="spellStart"/>
      <w:r w:rsidRPr="00F24B45">
        <w:rPr>
          <w:i/>
          <w:sz w:val="20"/>
          <w:lang w:val="en-US"/>
        </w:rPr>
        <w:t>roi</w:t>
      </w:r>
      <w:proofErr w:type="spellEnd"/>
      <w:r w:rsidRPr="00F24B45">
        <w:rPr>
          <w:i/>
          <w:sz w:val="20"/>
          <w:lang w:val="en-US"/>
        </w:rPr>
        <w:t xml:space="preserve">. </w:t>
      </w:r>
      <w:r w:rsidRPr="00F24B45">
        <w:rPr>
          <w:i/>
          <w:sz w:val="20"/>
        </w:rPr>
        <w:t xml:space="preserve">La Cour de France au château de Versailles, </w:t>
      </w:r>
      <w:r w:rsidRPr="00F24B45">
        <w:rPr>
          <w:sz w:val="20"/>
        </w:rPr>
        <w:t xml:space="preserve">Paris, Fayard, 2000. </w:t>
      </w:r>
    </w:p>
    <w:p w14:paraId="18AD6C18" w14:textId="77777777" w:rsidR="00BC259F" w:rsidRPr="00F24B45" w:rsidRDefault="00BC259F" w:rsidP="00AA2A12">
      <w:pPr>
        <w:pStyle w:val="Biblio"/>
        <w:spacing w:before="60" w:after="60"/>
        <w:rPr>
          <w:sz w:val="20"/>
        </w:rPr>
      </w:pPr>
      <w:r w:rsidRPr="00F24B45">
        <w:rPr>
          <w:sz w:val="20"/>
        </w:rPr>
        <w:t xml:space="preserve">--, </w:t>
      </w:r>
      <w:r w:rsidRPr="00F24B45">
        <w:rPr>
          <w:i/>
          <w:sz w:val="20"/>
        </w:rPr>
        <w:t>Dans l’ombre de la cour. Les baraques autour du château de Versailles</w:t>
      </w:r>
      <w:r w:rsidRPr="00F24B45">
        <w:rPr>
          <w:sz w:val="20"/>
        </w:rPr>
        <w:t>, Paris, Honoré Champion, 2015.</w:t>
      </w:r>
    </w:p>
    <w:p w14:paraId="5018905C" w14:textId="77777777" w:rsidR="008440C3" w:rsidRDefault="008440C3" w:rsidP="00F24B45">
      <w:pPr>
        <w:pStyle w:val="Sansinterligne"/>
        <w:spacing w:before="180" w:after="180"/>
      </w:pPr>
      <w:r>
        <w:t>Documents a</w:t>
      </w:r>
      <w:r w:rsidR="007527ED" w:rsidRPr="00607133">
        <w:t>nnexe</w:t>
      </w:r>
      <w:r>
        <w:t>s</w:t>
      </w:r>
      <w:r w:rsidR="007527ED" w:rsidRPr="00607133">
        <w:t xml:space="preserve"> </w:t>
      </w:r>
    </w:p>
    <w:p w14:paraId="596709BD" w14:textId="77777777" w:rsidR="00AA2A12" w:rsidRDefault="00AA2A12" w:rsidP="00AA2A12">
      <w:pPr>
        <w:pStyle w:val="Sansinterligne"/>
        <w:spacing w:before="120"/>
      </w:pPr>
      <w:r>
        <w:t xml:space="preserve">0. </w:t>
      </w:r>
      <w:r w:rsidR="00930890">
        <w:t xml:space="preserve">Pour en finir avec le mythe de la monarchie absolue   </w:t>
      </w:r>
      <w:r>
        <w:t xml:space="preserve">   </w:t>
      </w:r>
    </w:p>
    <w:p w14:paraId="60ED7C36" w14:textId="77777777" w:rsidR="00AA2A12" w:rsidRDefault="00AA2A12" w:rsidP="00AA2A12">
      <w:r>
        <w:t>« La monarchie absolue, c’est un truc inventé par les historiens qui ont écrit après la Révolution, afin d’en donner une vision cohérente et unifiée. Ils ont appelé cela « l’Ancien Régime ». Puis, sous la Troisième République, d’autres ont insisté sur la construction de l’État royal, sur l’importance des grands ministres comme Richelieu ou Colbert. Ensuite, au début du XX</w:t>
      </w:r>
      <w:r w:rsidRPr="00AA2A12">
        <w:rPr>
          <w:vertAlign w:val="superscript"/>
        </w:rPr>
        <w:t>e</w:t>
      </w:r>
      <w:r>
        <w:t xml:space="preserve"> siècle, on a été fasciné par la sacralisation du roi</w:t>
      </w:r>
      <w:r w:rsidR="00930890">
        <w:t xml:space="preserve">, </w:t>
      </w:r>
      <w:r>
        <w:t>au moment où les régimes totalitaires devenaient importants. Ce qui comptait pour les républicains, c’était de faire converger la sacralisation de la personne royale et la rationalité de l’État royal. C’est pour cela qu’ils ont célébré l’image d’un roi surpuissant, tel un Léviathan à la tête de l’État. Ça paraît un peu exagéré, non ? »</w:t>
      </w:r>
    </w:p>
    <w:p w14:paraId="11C31AAE" w14:textId="77777777" w:rsidR="00AA2A12" w:rsidRPr="00AA2A12" w:rsidRDefault="00AA2A12" w:rsidP="00930890">
      <w:pPr>
        <w:spacing w:after="180"/>
        <w:jc w:val="right"/>
        <w:rPr>
          <w:sz w:val="20"/>
        </w:rPr>
      </w:pPr>
      <w:r w:rsidRPr="00AA2A12">
        <w:rPr>
          <w:sz w:val="20"/>
        </w:rPr>
        <w:t xml:space="preserve">Stéphane </w:t>
      </w:r>
      <w:r w:rsidRPr="00AA2A12">
        <w:rPr>
          <w:smallCaps/>
          <w:sz w:val="20"/>
        </w:rPr>
        <w:t>Van Damme</w:t>
      </w:r>
      <w:r w:rsidRPr="00AA2A12">
        <w:rPr>
          <w:sz w:val="20"/>
        </w:rPr>
        <w:t xml:space="preserve">, Héloïse </w:t>
      </w:r>
      <w:proofErr w:type="spellStart"/>
      <w:r w:rsidRPr="00AA2A12">
        <w:rPr>
          <w:smallCaps/>
          <w:sz w:val="20"/>
        </w:rPr>
        <w:t>Chochois</w:t>
      </w:r>
      <w:proofErr w:type="spellEnd"/>
      <w:r w:rsidRPr="00AA2A12">
        <w:rPr>
          <w:sz w:val="20"/>
        </w:rPr>
        <w:t xml:space="preserve">, </w:t>
      </w:r>
      <w:r w:rsidRPr="00AA2A12">
        <w:rPr>
          <w:i/>
          <w:sz w:val="20"/>
        </w:rPr>
        <w:t xml:space="preserve">Histoire dessinée de la France. </w:t>
      </w:r>
      <w:r w:rsidRPr="00AA2A12">
        <w:rPr>
          <w:i/>
          <w:sz w:val="20"/>
        </w:rPr>
        <w:br/>
        <w:t>11 : dans l’absolu, de Louis XIII à Louis XIV</w:t>
      </w:r>
      <w:r w:rsidRPr="00AA2A12">
        <w:rPr>
          <w:sz w:val="20"/>
        </w:rPr>
        <w:t xml:space="preserve">, Paris, La Découverte, 2021, p. 20-21. </w:t>
      </w:r>
    </w:p>
    <w:p w14:paraId="04E350BE" w14:textId="77777777" w:rsidR="00B72AA1" w:rsidRDefault="007527ED" w:rsidP="00AA2A12">
      <w:pPr>
        <w:pStyle w:val="Sansinterligne"/>
        <w:spacing w:before="120"/>
      </w:pPr>
      <w:r w:rsidRPr="00607133">
        <w:t>1.</w:t>
      </w:r>
      <w:r w:rsidR="008440C3">
        <w:t xml:space="preserve"> </w:t>
      </w:r>
      <w:r w:rsidR="00B72AA1">
        <w:t>La chronologie de la construction de Versailles</w:t>
      </w:r>
    </w:p>
    <w:p w14:paraId="1F9D4019" w14:textId="77777777" w:rsidR="008E10BE" w:rsidRPr="00AA2A12" w:rsidRDefault="00AA2A12" w:rsidP="008E10BE">
      <w:pPr>
        <w:rPr>
          <w:rFonts w:cs="Times New Roman"/>
          <w:szCs w:val="23"/>
        </w:rPr>
      </w:pPr>
      <w:r w:rsidRPr="00AA2A12">
        <w:rPr>
          <w:szCs w:val="23"/>
        </w:rPr>
        <w:t>« </w:t>
      </w:r>
      <w:r w:rsidR="008E10BE" w:rsidRPr="00AA2A12">
        <w:rPr>
          <w:szCs w:val="23"/>
        </w:rPr>
        <w:t xml:space="preserve">Il faut agrandir le château auquel vient s’ajouter une ville nouvelle. La constitution du domaine entraîne d’immenses remembrements fonciers : des achats de seigneuries et de terres, des destructions de villages et de hameaux. </w:t>
      </w:r>
      <w:r w:rsidR="008E10BE" w:rsidRPr="00AA2A12">
        <w:rPr>
          <w:rFonts w:cs="Times New Roman"/>
          <w:szCs w:val="23"/>
        </w:rPr>
        <w:t>[…] De 1678 à 1689, deux grandes ailes sont ajoutées, sur jardin pour les princes, sur cour pour les courtisans : la façade sur le parc était longue de 570 mètres et la Grande Galerie, dite galerie des Glaces, remplace la terrasse. L’immense Orangerie, enfouie sous le parterre du sud, est longée par le monumental escalier des Cent-Marches et prolongée par la pièce d’eau des Suisses. Du côté oriental, l’avant-cour est encadrée par les ailes des ministres. Les avenues qui convergent vers le château dessinent une place d’armes où s’élèvent la Grande et la Petite Écurie (1679-1682). Au sud, se trouvent la chancellerie pour l’administration de l’État, ainsi que le Grand-Commun, destiné aux services du palais, qui occupe l’emplacement de l’ancien village détruit (1682-1684).</w:t>
      </w:r>
      <w:r w:rsidRPr="00AA2A12">
        <w:rPr>
          <w:rFonts w:cs="Times New Roman"/>
          <w:szCs w:val="23"/>
        </w:rPr>
        <w:t> »</w:t>
      </w:r>
    </w:p>
    <w:p w14:paraId="6EB0C5F6" w14:textId="77777777" w:rsidR="008E10BE" w:rsidRDefault="008E10BE" w:rsidP="00930890">
      <w:pPr>
        <w:spacing w:after="180"/>
        <w:jc w:val="right"/>
        <w:rPr>
          <w:sz w:val="20"/>
        </w:rPr>
      </w:pPr>
      <w:r w:rsidRPr="00AE39A9">
        <w:rPr>
          <w:sz w:val="20"/>
        </w:rPr>
        <w:t xml:space="preserve">Lucien </w:t>
      </w:r>
      <w:proofErr w:type="spellStart"/>
      <w:r w:rsidRPr="00AE39A9">
        <w:rPr>
          <w:smallCaps/>
          <w:sz w:val="20"/>
        </w:rPr>
        <w:t>Bély</w:t>
      </w:r>
      <w:proofErr w:type="spellEnd"/>
      <w:r w:rsidRPr="00AE39A9">
        <w:rPr>
          <w:sz w:val="20"/>
        </w:rPr>
        <w:t xml:space="preserve">, « Versailles », dans Id., </w:t>
      </w:r>
      <w:r w:rsidRPr="00AE39A9">
        <w:rPr>
          <w:i/>
          <w:sz w:val="20"/>
        </w:rPr>
        <w:t>Dictionnaire Louis XIV</w:t>
      </w:r>
      <w:r w:rsidRPr="00AE39A9">
        <w:rPr>
          <w:sz w:val="20"/>
        </w:rPr>
        <w:t>, Paris, Robert Laffont, 2015, p. 1326-1327.</w:t>
      </w:r>
    </w:p>
    <w:p w14:paraId="0EA76821" w14:textId="77777777" w:rsidR="00B72AA1" w:rsidRDefault="00B72AA1" w:rsidP="00AA2A12">
      <w:pPr>
        <w:pStyle w:val="Sansinterligne"/>
        <w:spacing w:before="120"/>
      </w:pPr>
      <w:r>
        <w:t xml:space="preserve">2. Du château à la ville  </w:t>
      </w:r>
    </w:p>
    <w:p w14:paraId="475273E8" w14:textId="77777777" w:rsidR="00B72AA1" w:rsidRPr="00AA2A12" w:rsidRDefault="00AA2A12" w:rsidP="00B72AA1">
      <w:pPr>
        <w:rPr>
          <w:rFonts w:cs="Times New Roman"/>
          <w:szCs w:val="23"/>
        </w:rPr>
      </w:pPr>
      <w:r w:rsidRPr="00AA2A12">
        <w:rPr>
          <w:rFonts w:cs="Times New Roman"/>
          <w:szCs w:val="23"/>
        </w:rPr>
        <w:t>« </w:t>
      </w:r>
      <w:r w:rsidR="008E10BE" w:rsidRPr="00AA2A12">
        <w:rPr>
          <w:rFonts w:cs="Times New Roman"/>
          <w:szCs w:val="23"/>
        </w:rPr>
        <w:t xml:space="preserve">L’espace de Versailles a été redessiné par Louis XIV en fonction du château situé sur un seuil entre une plaine marécageuse à l’ouest, drainée par le grand canal et aménagée en parc, et un vallon à l’est, d’une superficie de 2 832 ha, dominé de trois côtés par des forêts. La partie orientale a été aménagé comme avant-scène du château ; trois avenues, séparant les deux bâtiments monumentaux des écuries, convergent vers la place d’armes. L’avenue centrale, prestigieuse, a 122,48 m de largeur. […].  </w:t>
      </w:r>
    </w:p>
    <w:p w14:paraId="413574C8" w14:textId="77777777" w:rsidR="008E10BE" w:rsidRPr="00AA2A12" w:rsidRDefault="008E10BE" w:rsidP="00B72AA1">
      <w:pPr>
        <w:rPr>
          <w:rFonts w:cs="Times New Roman"/>
          <w:szCs w:val="23"/>
        </w:rPr>
      </w:pPr>
      <w:r w:rsidRPr="00AA2A12">
        <w:rPr>
          <w:rFonts w:cs="Times New Roman"/>
          <w:szCs w:val="23"/>
        </w:rPr>
        <w:t>Parallèlement, logements et aires de services marchands ont été développés d’abord au nord-est sous Louis XIV, qui fait aménager le quartier Notre-Dame doté d’une église et d’un marché, puis au sud sous Louis XV qui fait lotir un quartier plus petit doté de l’église Saint-Louis ; […]. L’essentiel des constructions est situé au nord-est ; le quartier sud est autonome ; Montreuil est une banlieue rurale où des membres de la famille royale se font construire des résidences secondaires. Au total ces dépendances sont dispersées, sans liaison entre elles</w:t>
      </w:r>
      <w:r w:rsidR="00E46092" w:rsidRPr="00AA2A12">
        <w:rPr>
          <w:rFonts w:cs="Times New Roman"/>
          <w:szCs w:val="23"/>
        </w:rPr>
        <w:t xml:space="preserve"> </w:t>
      </w:r>
      <w:r w:rsidRPr="00AA2A12">
        <w:rPr>
          <w:rFonts w:cs="Times New Roman"/>
          <w:szCs w:val="23"/>
        </w:rPr>
        <w:t>; certes leur pôle est le château, mais il n’est pas central. […]</w:t>
      </w:r>
      <w:r w:rsidR="00AA2A12" w:rsidRPr="00AA2A12">
        <w:rPr>
          <w:rFonts w:cs="Times New Roman"/>
          <w:szCs w:val="23"/>
        </w:rPr>
        <w:t> »</w:t>
      </w:r>
    </w:p>
    <w:p w14:paraId="3ACDECE8" w14:textId="77777777" w:rsidR="00343003" w:rsidRPr="00AA2A12" w:rsidRDefault="008E10BE" w:rsidP="00930890">
      <w:pPr>
        <w:spacing w:before="180"/>
        <w:jc w:val="right"/>
        <w:rPr>
          <w:sz w:val="20"/>
          <w:szCs w:val="20"/>
        </w:rPr>
      </w:pPr>
      <w:r w:rsidRPr="00D33342">
        <w:rPr>
          <w:sz w:val="20"/>
          <w:szCs w:val="20"/>
        </w:rPr>
        <w:t xml:space="preserve">Noëlle </w:t>
      </w:r>
      <w:r w:rsidRPr="00D33342">
        <w:rPr>
          <w:smallCaps/>
          <w:sz w:val="20"/>
          <w:szCs w:val="20"/>
        </w:rPr>
        <w:t>Dauphin</w:t>
      </w:r>
      <w:r>
        <w:rPr>
          <w:sz w:val="20"/>
          <w:szCs w:val="20"/>
        </w:rPr>
        <w:t xml:space="preserve">, « </w:t>
      </w:r>
      <w:r w:rsidRPr="00D33342">
        <w:rPr>
          <w:sz w:val="20"/>
          <w:szCs w:val="20"/>
        </w:rPr>
        <w:t>Versailles, le château et la ville</w:t>
      </w:r>
      <w:r w:rsidR="00AA2A12">
        <w:rPr>
          <w:sz w:val="20"/>
          <w:szCs w:val="20"/>
        </w:rPr>
        <w:t xml:space="preserve"> </w:t>
      </w:r>
      <w:r>
        <w:rPr>
          <w:sz w:val="20"/>
          <w:szCs w:val="20"/>
        </w:rPr>
        <w:t xml:space="preserve">», </w:t>
      </w:r>
      <w:r>
        <w:rPr>
          <w:i/>
          <w:sz w:val="20"/>
          <w:szCs w:val="20"/>
        </w:rPr>
        <w:t>Histoire urbaine</w:t>
      </w:r>
      <w:r>
        <w:rPr>
          <w:sz w:val="20"/>
          <w:szCs w:val="20"/>
        </w:rPr>
        <w:t xml:space="preserve">, 2004, 9/1, p. 79-96. </w:t>
      </w:r>
    </w:p>
    <w:p w14:paraId="0906485E" w14:textId="77777777" w:rsidR="00BB0374" w:rsidRDefault="00BB0374" w:rsidP="0024576A">
      <w:pPr>
        <w:pStyle w:val="Titre"/>
        <w:rPr>
          <w:rFonts w:cs="Times New Roman"/>
        </w:rPr>
        <w:sectPr w:rsidR="00BB0374" w:rsidSect="00331953">
          <w:headerReference w:type="default" r:id="rId11"/>
          <w:pgSz w:w="11905" w:h="16837"/>
          <w:pgMar w:top="885" w:right="1417" w:bottom="1417" w:left="1417" w:header="708" w:footer="708" w:gutter="0"/>
          <w:cols w:space="708"/>
          <w:docGrid w:linePitch="360"/>
          <w15:footnoteColumns w:val="2"/>
        </w:sectPr>
      </w:pPr>
    </w:p>
    <w:p w14:paraId="5112E795" w14:textId="77777777" w:rsidR="004F4B66" w:rsidRPr="00607133" w:rsidRDefault="004F4B66" w:rsidP="004F4B66">
      <w:pPr>
        <w:pStyle w:val="Titre"/>
        <w:rPr>
          <w:rFonts w:cs="Times New Roman"/>
        </w:rPr>
      </w:pPr>
      <w:r w:rsidRPr="00607133">
        <w:rPr>
          <w:rFonts w:cs="Times New Roman"/>
        </w:rPr>
        <w:lastRenderedPageBreak/>
        <w:t xml:space="preserve">Séance </w:t>
      </w:r>
      <w:r>
        <w:rPr>
          <w:rFonts w:cs="Times New Roman"/>
        </w:rPr>
        <w:t>2</w:t>
      </w:r>
      <w:r w:rsidRPr="00607133">
        <w:rPr>
          <w:rFonts w:cs="Times New Roman"/>
        </w:rPr>
        <w:t xml:space="preserve">. </w:t>
      </w:r>
      <w:r w:rsidR="00960E5C">
        <w:rPr>
          <w:rFonts w:cs="Times New Roman"/>
        </w:rPr>
        <w:t xml:space="preserve">Au service de sa majesté : </w:t>
      </w:r>
      <w:r w:rsidR="00960E5C">
        <w:rPr>
          <w:rFonts w:cs="Times New Roman"/>
        </w:rPr>
        <w:br/>
        <w:t xml:space="preserve">la guerre de course et ses récompenses à la fin du XVIIe siècle </w:t>
      </w:r>
      <w:r w:rsidRPr="00607133">
        <w:rPr>
          <w:rFonts w:cs="Times New Roman"/>
        </w:rPr>
        <w:t xml:space="preserve"> </w:t>
      </w:r>
    </w:p>
    <w:p w14:paraId="5D4B2A20" w14:textId="77777777" w:rsidR="00960E5C" w:rsidRDefault="00960E5C" w:rsidP="00960E5C">
      <w:pPr>
        <w:pStyle w:val="Sansinterligne"/>
      </w:pPr>
      <w:r>
        <w:t>Source. Lettres d’anoblissement de Jean Bart (1694)</w:t>
      </w:r>
    </w:p>
    <w:p w14:paraId="279BF627" w14:textId="77777777" w:rsidR="00495D5D" w:rsidRDefault="001007B8" w:rsidP="00960E5C">
      <w:pPr>
        <w:rPr>
          <w:rFonts w:cs="Times New Roman"/>
          <w:szCs w:val="23"/>
        </w:rPr>
      </w:pPr>
      <w:r>
        <w:rPr>
          <w:rFonts w:cs="Times New Roman"/>
          <w:szCs w:val="23"/>
        </w:rPr>
        <w:t xml:space="preserve">Louis, par la grâce de Dieu roi de France et de Navarre, à tous présents et à venir, salut. </w:t>
      </w:r>
      <w:r w:rsidR="004F4B66" w:rsidRPr="00960E5C">
        <w:rPr>
          <w:rFonts w:cs="Times New Roman"/>
          <w:szCs w:val="23"/>
        </w:rPr>
        <w:t xml:space="preserve">Comme il n’y a point de moyen plus assuré pour entretenir l’émulation dans le cœur des officiers qui sont employés pour notre service, et pour les exciter à faire des actions éclatantes, que de récompenser ceux qui se sont signalés dans les commandements que nous leur avons confié, et de les distinguer par des marques glorieuses, qui puissent passer jusques à leur postérité, nous avons par ces considérations accordé des lettres de noblesse à ceux de nos officiers qui se sont rendus les plus recommandables. Mais de tous les officiers qui ont mérité ces honneurs, nous n’en trouvons point qui s’en soit rendu plus digne que notre cher et bien aimé le sieur Jean Bart, chevalier de notre ordre militaire de Saint Louis, capitaine de marine, commandant actuellement une escadre de nos vaisseaux de guerre, tant par l’ancienneté de ses services que par la qualité de ses actions et de ses blessures. </w:t>
      </w:r>
    </w:p>
    <w:p w14:paraId="253EF88E" w14:textId="77777777" w:rsidR="00B76FDB" w:rsidRPr="00960E5C" w:rsidRDefault="004F4B66" w:rsidP="00960E5C">
      <w:pPr>
        <w:rPr>
          <w:rFonts w:cs="Times New Roman"/>
          <w:szCs w:val="23"/>
        </w:rPr>
      </w:pPr>
      <w:r w:rsidRPr="00960E5C">
        <w:rPr>
          <w:rFonts w:cs="Times New Roman"/>
          <w:szCs w:val="23"/>
        </w:rPr>
        <w:t xml:space="preserve">Puisqu’en 1675, ayant le commandement d’une galiote armée de course, et montée seulement de deux pièces de canon, de 36 hommes, il </w:t>
      </w:r>
      <w:r w:rsidR="001B6BC3" w:rsidRPr="00960E5C">
        <w:rPr>
          <w:rFonts w:cs="Times New Roman"/>
          <w:szCs w:val="23"/>
        </w:rPr>
        <w:t>alla</w:t>
      </w:r>
      <w:r w:rsidRPr="00960E5C">
        <w:rPr>
          <w:rFonts w:cs="Times New Roman"/>
          <w:szCs w:val="23"/>
        </w:rPr>
        <w:t xml:space="preserve"> à l’abordage devant le Texel une frégate de 18 canons, et de 45 hommes venant d’Espagne. En 1676 ayant eu le commandement de la frégate « la Royale », armée en course et montée de dix pièces de canon, il prit une frégate hollandaise nommée l’Espérance, de 12 canons, qui servait de convoi d’Hollande à Hambourg. </w:t>
      </w:r>
      <w:r w:rsidR="003C29E3" w:rsidRPr="00960E5C">
        <w:rPr>
          <w:rFonts w:cs="Times New Roman"/>
          <w:szCs w:val="23"/>
        </w:rPr>
        <w:t>[…]</w:t>
      </w:r>
      <w:r w:rsidRPr="00960E5C">
        <w:rPr>
          <w:rFonts w:cs="Times New Roman"/>
          <w:szCs w:val="23"/>
        </w:rPr>
        <w:t xml:space="preserve">. </w:t>
      </w:r>
      <w:r w:rsidR="00B76FDB" w:rsidRPr="00960E5C">
        <w:rPr>
          <w:rFonts w:cs="Times New Roman"/>
          <w:szCs w:val="23"/>
        </w:rPr>
        <w:t>[</w:t>
      </w:r>
      <w:r w:rsidR="00B76FDB" w:rsidRPr="00960E5C">
        <w:rPr>
          <w:rFonts w:cs="Times New Roman"/>
          <w:i/>
          <w:szCs w:val="23"/>
        </w:rPr>
        <w:t>S’ensuit une longue liste des exploits de Jean Bart entre 1676 et 1694</w:t>
      </w:r>
      <w:r w:rsidR="0067441C" w:rsidRPr="00960E5C">
        <w:rPr>
          <w:rFonts w:cs="Times New Roman"/>
          <w:i/>
          <w:szCs w:val="23"/>
        </w:rPr>
        <w:t>, en mer du Nord puis en Méditerranée</w:t>
      </w:r>
      <w:r w:rsidR="00B76FDB" w:rsidRPr="00960E5C">
        <w:rPr>
          <w:rFonts w:cs="Times New Roman"/>
          <w:szCs w:val="23"/>
        </w:rPr>
        <w:t>].</w:t>
      </w:r>
      <w:r w:rsidR="0067441C" w:rsidRPr="00960E5C">
        <w:rPr>
          <w:rFonts w:cs="Times New Roman"/>
          <w:szCs w:val="23"/>
        </w:rPr>
        <w:t xml:space="preserve"> Ayant désarmé à Toulon,</w:t>
      </w:r>
      <w:r w:rsidR="00B76FDB" w:rsidRPr="00960E5C">
        <w:rPr>
          <w:rFonts w:cs="Times New Roman"/>
          <w:szCs w:val="23"/>
        </w:rPr>
        <w:t xml:space="preserve"> </w:t>
      </w:r>
      <w:r w:rsidR="0067441C" w:rsidRPr="00960E5C">
        <w:rPr>
          <w:rFonts w:cs="Times New Roman"/>
          <w:szCs w:val="23"/>
        </w:rPr>
        <w:t xml:space="preserve">il se rendit à Dunkerque suivant nos ordres, </w:t>
      </w:r>
      <w:r w:rsidR="006628C3" w:rsidRPr="00960E5C">
        <w:rPr>
          <w:rFonts w:cs="Times New Roman"/>
          <w:szCs w:val="23"/>
        </w:rPr>
        <w:t>[…] où il avait le commandement de six de nos vaisseaux pour amener en France une flotte chargée de blé, […] Enfin, étant parti le 28 juin de la présente année 1694, avec les mêmes six vaisseaux de guerre pour aller chercher une flotte de blé, elle était partie au nombre de cent et quelques voiles, sous l’escorte de trois vaisseaux Danois et Suédois. Elle fut rencontrée sur le Texel</w:t>
      </w:r>
      <w:r w:rsidR="00960E5C" w:rsidRPr="00960E5C">
        <w:rPr>
          <w:rFonts w:cs="Times New Roman"/>
          <w:szCs w:val="23"/>
        </w:rPr>
        <w:t xml:space="preserve">, et le commandant-amiral de </w:t>
      </w:r>
      <w:proofErr w:type="spellStart"/>
      <w:r w:rsidR="00960E5C" w:rsidRPr="00960E5C">
        <w:rPr>
          <w:rFonts w:cs="Times New Roman"/>
          <w:szCs w:val="23"/>
        </w:rPr>
        <w:t>Frisse</w:t>
      </w:r>
      <w:proofErr w:type="spellEnd"/>
      <w:r w:rsidR="00960E5C" w:rsidRPr="00960E5C">
        <w:rPr>
          <w:rFonts w:cs="Times New Roman"/>
          <w:szCs w:val="23"/>
        </w:rPr>
        <w:t xml:space="preserve">, le </w:t>
      </w:r>
      <w:proofErr w:type="spellStart"/>
      <w:r w:rsidR="00960E5C" w:rsidRPr="00960E5C">
        <w:rPr>
          <w:rFonts w:cs="Times New Roman"/>
          <w:szCs w:val="23"/>
        </w:rPr>
        <w:t>s.r</w:t>
      </w:r>
      <w:proofErr w:type="spellEnd"/>
      <w:r w:rsidR="00960E5C" w:rsidRPr="00960E5C">
        <w:rPr>
          <w:rFonts w:cs="Times New Roman"/>
          <w:szCs w:val="23"/>
        </w:rPr>
        <w:t xml:space="preserve"> </w:t>
      </w:r>
      <w:proofErr w:type="spellStart"/>
      <w:r w:rsidR="00960E5C" w:rsidRPr="00960E5C">
        <w:rPr>
          <w:rFonts w:cs="Times New Roman"/>
          <w:szCs w:val="23"/>
        </w:rPr>
        <w:t>Hidde</w:t>
      </w:r>
      <w:proofErr w:type="spellEnd"/>
      <w:r w:rsidR="00960E5C" w:rsidRPr="00960E5C">
        <w:rPr>
          <w:rFonts w:cs="Times New Roman"/>
          <w:szCs w:val="23"/>
        </w:rPr>
        <w:t xml:space="preserve">, qui commandait une escadre composée de huit vaisseaux de guerre, s’était déjà emparé de ladite flotte. Mais le lendemain ledit sieur Bart le rencontra à la hauteur du Texel, et comme il s’agissait de </w:t>
      </w:r>
      <w:r w:rsidR="00B76FDB" w:rsidRPr="00960E5C">
        <w:rPr>
          <w:rFonts w:cs="Times New Roman"/>
          <w:szCs w:val="23"/>
        </w:rPr>
        <w:t xml:space="preserve">faire une action aussi éclatante qu’utile pour le bien de notre service et le soulagement de nos sujets, il prit la résolution de le combattre quoiqu’inférieur en nombre et en artillerie, et ayant abordé le contre-amiral, il l’enleva. […] Une action aussi distinguée, jointe à plusieurs autres qui l’ont signalé par tant de fameux exploits, nous convient à lui donner des marques d’estime que nous faisons de sa personne et de la satisfaction que nous avons de ses services en l’honorant du titre de noblesse afin d’augmenter s’il est possible l’ardeur qu’il a de se signaler et de donner en même temps de l’émulation à nos autres officiers de marine et l’envie de l’imiter dans l’espérance de s’acquérir et à leurs familles un semblable honneur. </w:t>
      </w:r>
    </w:p>
    <w:p w14:paraId="7BD236E0" w14:textId="77777777" w:rsidR="00960E5C" w:rsidRDefault="00B76FDB" w:rsidP="00960E5C">
      <w:pPr>
        <w:rPr>
          <w:rFonts w:cs="Times New Roman"/>
          <w:szCs w:val="23"/>
        </w:rPr>
      </w:pPr>
      <w:r w:rsidRPr="00960E5C">
        <w:rPr>
          <w:rFonts w:cs="Times New Roman"/>
          <w:szCs w:val="23"/>
        </w:rPr>
        <w:t xml:space="preserve">[…] À ces causes, voulons reconnaître les services importants dudit sieur Bart et par des marques de distinction qui fassent connaître à la postérité la considération particulière que nous avons pour sa valeur, qu’il a toujours conduite avec tant d’avantage pour le succès des entreprises qu’il a faites pour notre service, de notre grâce spéciale, pleine puissance et autorité royale, nous avons anobli par ces présentes, signées de notre main, ledit sieur Jean Bart, ensemble ses enfants, postérité et lignée tant mâles que femelles nées et à naître en légitime mariage que nous avons décoré et décorons du titre et qualité de gentilhomme. […] Permettant audit sieur Bart et à sa postérité de porter les écussons et armoiries timbrées telles qu’elles sont ici empreintes, avec faculté de charger l’écusson de ses armes d’une fleur de lys d’or à fond d’azur que nous lui avons concédé et concédons par ces présentes en mémoire et considération de ses signalés services. Donné à Versailles au mois d’août l’an de grâce 1694 et de notre règne le cinquante deuxième. </w:t>
      </w:r>
    </w:p>
    <w:p w14:paraId="4A9020AB" w14:textId="77777777" w:rsidR="00960E5C" w:rsidRPr="00C1616E" w:rsidRDefault="00960E5C" w:rsidP="00C1616E">
      <w:pPr>
        <w:spacing w:before="240"/>
        <w:jc w:val="right"/>
        <w:rPr>
          <w:rFonts w:cs="Times New Roman"/>
          <w:sz w:val="20"/>
          <w:szCs w:val="23"/>
        </w:rPr>
      </w:pPr>
      <w:r w:rsidRPr="00E82323">
        <w:rPr>
          <w:rFonts w:cs="Times New Roman"/>
          <w:sz w:val="20"/>
          <w:szCs w:val="23"/>
        </w:rPr>
        <w:t xml:space="preserve">Archives municipales de Dunkerque, </w:t>
      </w:r>
      <w:proofErr w:type="spellStart"/>
      <w:r w:rsidR="00495D5D" w:rsidRPr="00495D5D">
        <w:rPr>
          <w:rFonts w:cs="Times New Roman"/>
          <w:sz w:val="20"/>
          <w:szCs w:val="23"/>
        </w:rPr>
        <w:t>AncDK</w:t>
      </w:r>
      <w:proofErr w:type="spellEnd"/>
      <w:r w:rsidR="00495D5D" w:rsidRPr="00495D5D">
        <w:rPr>
          <w:rFonts w:cs="Times New Roman"/>
          <w:sz w:val="20"/>
          <w:szCs w:val="23"/>
        </w:rPr>
        <w:t xml:space="preserve"> 5</w:t>
      </w:r>
      <w:r w:rsidR="00495D5D">
        <w:rPr>
          <w:rFonts w:cs="Times New Roman"/>
          <w:sz w:val="20"/>
          <w:szCs w:val="23"/>
        </w:rPr>
        <w:t>, non numéroté,</w:t>
      </w:r>
      <w:r w:rsidR="00E82323" w:rsidRPr="00E82323">
        <w:rPr>
          <w:rFonts w:cs="Times New Roman"/>
          <w:sz w:val="20"/>
          <w:szCs w:val="23"/>
        </w:rPr>
        <w:br/>
      </w:r>
      <w:r w:rsidRPr="00E82323">
        <w:rPr>
          <w:rFonts w:cs="Times New Roman"/>
          <w:sz w:val="20"/>
          <w:szCs w:val="23"/>
        </w:rPr>
        <w:t xml:space="preserve">partiellement </w:t>
      </w:r>
      <w:r w:rsidR="00CB08C7">
        <w:rPr>
          <w:rFonts w:cs="Times New Roman"/>
          <w:sz w:val="20"/>
          <w:szCs w:val="23"/>
        </w:rPr>
        <w:t>édité</w:t>
      </w:r>
      <w:r w:rsidRPr="00E82323">
        <w:rPr>
          <w:rFonts w:cs="Times New Roman"/>
          <w:sz w:val="20"/>
          <w:szCs w:val="23"/>
        </w:rPr>
        <w:t xml:space="preserve"> </w:t>
      </w:r>
      <w:r w:rsidR="00CB08C7">
        <w:rPr>
          <w:rFonts w:cs="Times New Roman"/>
          <w:sz w:val="20"/>
          <w:szCs w:val="23"/>
        </w:rPr>
        <w:t>dans</w:t>
      </w:r>
      <w:r w:rsidRPr="00E82323">
        <w:rPr>
          <w:rFonts w:cs="Times New Roman"/>
          <w:sz w:val="20"/>
          <w:szCs w:val="23"/>
        </w:rPr>
        <w:t xml:space="preserve"> P. </w:t>
      </w:r>
      <w:r w:rsidRPr="00E82323">
        <w:rPr>
          <w:rFonts w:cs="Times New Roman"/>
          <w:smallCaps/>
          <w:sz w:val="20"/>
          <w:szCs w:val="23"/>
        </w:rPr>
        <w:t>Villiers</w:t>
      </w:r>
      <w:r w:rsidRPr="00E82323">
        <w:rPr>
          <w:rFonts w:cs="Times New Roman"/>
          <w:sz w:val="20"/>
          <w:szCs w:val="23"/>
        </w:rPr>
        <w:t xml:space="preserve">, </w:t>
      </w:r>
      <w:r w:rsidRPr="00E82323">
        <w:rPr>
          <w:rFonts w:cs="Times New Roman"/>
          <w:i/>
          <w:sz w:val="20"/>
          <w:szCs w:val="23"/>
        </w:rPr>
        <w:t>Jean Bart. Corsaire du Roi-Soleil</w:t>
      </w:r>
      <w:r w:rsidRPr="00E82323">
        <w:rPr>
          <w:rFonts w:cs="Times New Roman"/>
          <w:sz w:val="20"/>
          <w:szCs w:val="23"/>
        </w:rPr>
        <w:t xml:space="preserve">, </w:t>
      </w:r>
      <w:r w:rsidR="00E82323" w:rsidRPr="00E82323">
        <w:rPr>
          <w:rFonts w:cs="Times New Roman"/>
          <w:sz w:val="20"/>
          <w:szCs w:val="23"/>
        </w:rPr>
        <w:br/>
      </w:r>
      <w:r w:rsidRPr="00E82323">
        <w:rPr>
          <w:rFonts w:cs="Times New Roman"/>
          <w:sz w:val="20"/>
          <w:szCs w:val="23"/>
        </w:rPr>
        <w:t xml:space="preserve">Paris, Fayard, 2013, p. 381-384. </w:t>
      </w:r>
    </w:p>
    <w:p w14:paraId="16420C2D" w14:textId="77777777" w:rsidR="00DE7722" w:rsidRPr="00960E5C" w:rsidRDefault="00DE7722" w:rsidP="00960E5C">
      <w:pPr>
        <w:pStyle w:val="Sansinterligne"/>
        <w:rPr>
          <w:rFonts w:cs="Times New Roman"/>
          <w:szCs w:val="23"/>
        </w:rPr>
      </w:pPr>
      <w:r w:rsidRPr="00BE190A">
        <w:lastRenderedPageBreak/>
        <w:t xml:space="preserve">Bibliographie </w:t>
      </w:r>
      <w:r w:rsidR="005F1720">
        <w:t>indicative</w:t>
      </w:r>
      <w:r w:rsidRPr="00BE190A">
        <w:t xml:space="preserve"> </w:t>
      </w:r>
    </w:p>
    <w:p w14:paraId="7ED9DBD5" w14:textId="77777777" w:rsidR="007A7915" w:rsidRPr="00960E5C" w:rsidRDefault="007A7915" w:rsidP="007A7915">
      <w:pPr>
        <w:pStyle w:val="Biblio"/>
        <w:spacing w:before="60" w:after="60"/>
        <w:rPr>
          <w:sz w:val="21"/>
          <w:szCs w:val="20"/>
        </w:rPr>
      </w:pPr>
      <w:proofErr w:type="spellStart"/>
      <w:r w:rsidRPr="00960E5C">
        <w:rPr>
          <w:rFonts w:cs="Times New Roman (Corps CS)"/>
          <w:smallCaps/>
          <w:sz w:val="21"/>
          <w:szCs w:val="20"/>
        </w:rPr>
        <w:t>Bély</w:t>
      </w:r>
      <w:proofErr w:type="spellEnd"/>
      <w:r w:rsidRPr="00960E5C">
        <w:rPr>
          <w:sz w:val="21"/>
          <w:szCs w:val="20"/>
        </w:rPr>
        <w:t xml:space="preserve">, Lucien, </w:t>
      </w:r>
      <w:r w:rsidRPr="00960E5C">
        <w:rPr>
          <w:i/>
          <w:sz w:val="21"/>
          <w:szCs w:val="20"/>
        </w:rPr>
        <w:t>Dictionnaire Louis XIV</w:t>
      </w:r>
      <w:r w:rsidRPr="00960E5C">
        <w:rPr>
          <w:sz w:val="21"/>
          <w:szCs w:val="20"/>
        </w:rPr>
        <w:t xml:space="preserve">, Paris, Robert Laffont, 2015, pp. 773-775. </w:t>
      </w:r>
    </w:p>
    <w:p w14:paraId="06D37125" w14:textId="77777777" w:rsidR="007A7915" w:rsidRPr="00960E5C" w:rsidRDefault="007A7915" w:rsidP="007A7915">
      <w:pPr>
        <w:pStyle w:val="Biblio"/>
        <w:spacing w:before="60" w:after="60"/>
        <w:rPr>
          <w:sz w:val="21"/>
          <w:szCs w:val="20"/>
        </w:rPr>
      </w:pPr>
      <w:r w:rsidRPr="00960E5C">
        <w:rPr>
          <w:smallCaps/>
          <w:sz w:val="21"/>
          <w:szCs w:val="20"/>
        </w:rPr>
        <w:t>*Villiers</w:t>
      </w:r>
      <w:r w:rsidRPr="00960E5C">
        <w:rPr>
          <w:sz w:val="21"/>
          <w:szCs w:val="20"/>
        </w:rPr>
        <w:t xml:space="preserve">, Patrick, </w:t>
      </w:r>
      <w:r w:rsidRPr="00960E5C">
        <w:rPr>
          <w:i/>
          <w:sz w:val="21"/>
          <w:szCs w:val="20"/>
        </w:rPr>
        <w:t>Jean Bart. Corsaire du Roi-Soleil</w:t>
      </w:r>
      <w:r w:rsidRPr="00960E5C">
        <w:rPr>
          <w:sz w:val="21"/>
          <w:szCs w:val="20"/>
        </w:rPr>
        <w:t xml:space="preserve">, Paris, Fayard, 2013, pp. 369-398. </w:t>
      </w:r>
    </w:p>
    <w:p w14:paraId="78A8482B" w14:textId="77777777" w:rsidR="004349F8" w:rsidRPr="00960E5C" w:rsidRDefault="00BE190A" w:rsidP="00960E5C">
      <w:pPr>
        <w:pStyle w:val="Sansinterligne"/>
        <w:spacing w:before="180" w:after="120"/>
      </w:pPr>
      <w:r w:rsidRPr="00960E5C">
        <w:t>Documents annexes</w:t>
      </w:r>
    </w:p>
    <w:p w14:paraId="6AE58E82" w14:textId="77777777" w:rsidR="004349F8" w:rsidRPr="00960E5C" w:rsidRDefault="004349F8" w:rsidP="00960E5C">
      <w:pPr>
        <w:spacing w:before="240"/>
        <w:ind w:firstLine="0"/>
        <w:rPr>
          <w:b/>
        </w:rPr>
      </w:pPr>
      <w:r w:rsidRPr="00960E5C">
        <w:rPr>
          <w:b/>
        </w:rPr>
        <w:t xml:space="preserve">1. Dunkerque et la guerre de course (années 1680-1700) </w:t>
      </w:r>
    </w:p>
    <w:p w14:paraId="0398F8DB" w14:textId="77777777" w:rsidR="004349F8" w:rsidRPr="00B54EAE" w:rsidRDefault="004349F8" w:rsidP="004349F8">
      <w:pPr>
        <w:rPr>
          <w:rFonts w:cs="Times New Roman"/>
        </w:rPr>
      </w:pPr>
      <w:r w:rsidRPr="00B54EAE">
        <w:t xml:space="preserve">De 1688 à 1713, les corsaires sont soutenus par la présence permanente d’une escadre de guerre commandée par Jean Bart, </w:t>
      </w:r>
      <w:proofErr w:type="spellStart"/>
      <w:r w:rsidRPr="00B54EAE">
        <w:t>Poitis</w:t>
      </w:r>
      <w:proofErr w:type="spellEnd"/>
      <w:r w:rsidRPr="00B54EAE">
        <w:t xml:space="preserve">, </w:t>
      </w:r>
      <w:proofErr w:type="spellStart"/>
      <w:r w:rsidRPr="00B54EAE">
        <w:t>Saint-Pol</w:t>
      </w:r>
      <w:proofErr w:type="spellEnd"/>
      <w:r w:rsidRPr="00B54EAE">
        <w:t xml:space="preserve">, Forbin etc. C’est la seule période où une telle association existe. Les capitaux de la cour, apportés par Vauban et par Seignelay, financent des corsaires de 80 à 250 tonneaux. Jean Bart, devenu officier du roi, est principalement chargé d’escortes ou de la défense de Dunkerque. Son plus grand exploit est la bataille du Texel, qui n’a rien de corsaire mais reste très lié à la course. </w:t>
      </w:r>
      <w:r w:rsidRPr="00B54EAE">
        <w:rPr>
          <w:rFonts w:cs="Times New Roman"/>
        </w:rPr>
        <w:t>[</w:t>
      </w:r>
      <w:r w:rsidRPr="00B54EAE">
        <w:t>…</w:t>
      </w:r>
      <w:r w:rsidRPr="00B54EAE">
        <w:rPr>
          <w:rFonts w:cs="Times New Roman"/>
        </w:rPr>
        <w:t>]</w:t>
      </w:r>
      <w:r w:rsidRPr="00B54EAE">
        <w:t xml:space="preserve">. Avec environ 2 800 à 3 000 captures sur les 5 700 à 6 000 captures réalisées de 1688 à 1697, les Dunkerquois réalisent environ 50 % du total français mais près de la moitié sont des rançons. Elles sont principalement faites par les corsaires de mois de 100 tonneaux qui s’attaquent surtout au petit cabotage charbonnier. </w:t>
      </w:r>
      <w:r w:rsidRPr="00B54EAE">
        <w:rPr>
          <w:rFonts w:cs="Times New Roman"/>
        </w:rPr>
        <w:t>[…]</w:t>
      </w:r>
    </w:p>
    <w:p w14:paraId="1E8FA521" w14:textId="77777777" w:rsidR="004349F8" w:rsidRDefault="004349F8" w:rsidP="00B54EAE">
      <w:pPr>
        <w:jc w:val="right"/>
        <w:rPr>
          <w:sz w:val="20"/>
        </w:rPr>
      </w:pPr>
      <w:r w:rsidRPr="005A389C">
        <w:rPr>
          <w:sz w:val="20"/>
        </w:rPr>
        <w:t xml:space="preserve">Patrick </w:t>
      </w:r>
      <w:r w:rsidRPr="00793EFA">
        <w:rPr>
          <w:smallCaps/>
          <w:sz w:val="20"/>
        </w:rPr>
        <w:t>Villiers</w:t>
      </w:r>
      <w:r w:rsidRPr="005A389C">
        <w:rPr>
          <w:sz w:val="20"/>
        </w:rPr>
        <w:t xml:space="preserve">, « Dunkerque », dans </w:t>
      </w:r>
      <w:r w:rsidR="00960E5C">
        <w:rPr>
          <w:sz w:val="20"/>
        </w:rPr>
        <w:t>G.</w:t>
      </w:r>
      <w:r w:rsidRPr="005A389C">
        <w:rPr>
          <w:sz w:val="20"/>
        </w:rPr>
        <w:t xml:space="preserve"> </w:t>
      </w:r>
      <w:proofErr w:type="spellStart"/>
      <w:r w:rsidRPr="00B54EAE">
        <w:rPr>
          <w:smallCaps/>
          <w:sz w:val="20"/>
        </w:rPr>
        <w:t>Buti</w:t>
      </w:r>
      <w:proofErr w:type="spellEnd"/>
      <w:r w:rsidRPr="005A389C">
        <w:rPr>
          <w:sz w:val="20"/>
        </w:rPr>
        <w:t xml:space="preserve">, </w:t>
      </w:r>
      <w:r w:rsidR="00960E5C">
        <w:rPr>
          <w:sz w:val="20"/>
        </w:rPr>
        <w:t>Ph.</w:t>
      </w:r>
      <w:r w:rsidRPr="005A389C">
        <w:rPr>
          <w:sz w:val="20"/>
        </w:rPr>
        <w:t xml:space="preserve"> </w:t>
      </w:r>
      <w:proofErr w:type="spellStart"/>
      <w:r w:rsidRPr="00B54EAE">
        <w:rPr>
          <w:smallCaps/>
          <w:sz w:val="20"/>
        </w:rPr>
        <w:t>Hrodej</w:t>
      </w:r>
      <w:proofErr w:type="spellEnd"/>
      <w:r w:rsidRPr="005A389C">
        <w:rPr>
          <w:sz w:val="20"/>
        </w:rPr>
        <w:t xml:space="preserve"> (dir.), </w:t>
      </w:r>
      <w:r w:rsidR="00960E5C">
        <w:rPr>
          <w:sz w:val="20"/>
        </w:rPr>
        <w:br/>
      </w:r>
      <w:r w:rsidRPr="005A389C">
        <w:rPr>
          <w:i/>
          <w:sz w:val="20"/>
        </w:rPr>
        <w:t>Dictionnaire des corsaires et pirates</w:t>
      </w:r>
      <w:r w:rsidRPr="005A389C">
        <w:rPr>
          <w:sz w:val="20"/>
        </w:rPr>
        <w:t>, Paris, CNRS Éditions, 2013, p. 256.</w:t>
      </w:r>
      <w:r w:rsidRPr="00607133">
        <w:rPr>
          <w:sz w:val="20"/>
        </w:rPr>
        <w:t xml:space="preserve"> </w:t>
      </w:r>
    </w:p>
    <w:p w14:paraId="07BEA5FA" w14:textId="77777777" w:rsidR="00EE5E56" w:rsidRPr="00960E5C" w:rsidRDefault="00095F03" w:rsidP="00BE190A">
      <w:pPr>
        <w:spacing w:before="240"/>
        <w:ind w:firstLine="0"/>
        <w:rPr>
          <w:b/>
        </w:rPr>
      </w:pPr>
      <w:r w:rsidRPr="00960E5C">
        <w:rPr>
          <w:b/>
        </w:rPr>
        <w:t xml:space="preserve">2. </w:t>
      </w:r>
      <w:r w:rsidR="00EE5E56" w:rsidRPr="00960E5C">
        <w:rPr>
          <w:b/>
        </w:rPr>
        <w:t xml:space="preserve">De corsaire à officier du roi : Jean Bart </w:t>
      </w:r>
      <w:r w:rsidR="008F327B" w:rsidRPr="00960E5C">
        <w:rPr>
          <w:b/>
        </w:rPr>
        <w:t>(1650-1702)</w:t>
      </w:r>
    </w:p>
    <w:p w14:paraId="37F22A22" w14:textId="77777777" w:rsidR="00EE5E56" w:rsidRPr="00B54EAE" w:rsidRDefault="008F327B" w:rsidP="00EE5E56">
      <w:pPr>
        <w:rPr>
          <w:szCs w:val="22"/>
        </w:rPr>
      </w:pPr>
      <w:r w:rsidRPr="00B54EAE">
        <w:rPr>
          <w:szCs w:val="22"/>
        </w:rPr>
        <w:t xml:space="preserve">Jean Bart est le plus connu des corsaires français. Il est sans doute d’abord pêcheur. </w:t>
      </w:r>
      <w:r w:rsidR="00B54EAE">
        <w:rPr>
          <w:rFonts w:ascii="Times New Roman" w:hAnsi="Times New Roman" w:cs="Times New Roman"/>
          <w:szCs w:val="22"/>
        </w:rPr>
        <w:t>[…]</w:t>
      </w:r>
      <w:r w:rsidRPr="00B54EAE">
        <w:rPr>
          <w:szCs w:val="22"/>
        </w:rPr>
        <w:t>. Lorsque la France lance la guerre contre la Hollande, Bart s’impose de 1675 à 1679 comme un corsaire habile avec des embarcations de plus en plus importantes. La guerre de course accompagne les conflits et les prolonge : elle permet d’armer des bateaux pour attaquer les vaisseaux marchands de l’ennemi. En 1678, il se distingue déjà comme le plus audacieux corsaire de Dunkerque et, en 1679, il devient l</w:t>
      </w:r>
      <w:r w:rsidR="00BE190A" w:rsidRPr="00B54EAE">
        <w:rPr>
          <w:szCs w:val="22"/>
        </w:rPr>
        <w:t>i</w:t>
      </w:r>
      <w:r w:rsidRPr="00B54EAE">
        <w:rPr>
          <w:szCs w:val="22"/>
        </w:rPr>
        <w:t xml:space="preserve">eutenant de vaisseau, donc officier du roi. Il accumule les prises, en pratiquant systématiquement l’abordage </w:t>
      </w:r>
      <w:r w:rsidRPr="00B54EAE">
        <w:rPr>
          <w:rFonts w:cs="Times New Roman"/>
          <w:szCs w:val="22"/>
        </w:rPr>
        <w:t>[…].</w:t>
      </w:r>
      <w:r w:rsidR="00DE7722" w:rsidRPr="00B54EAE">
        <w:rPr>
          <w:rFonts w:cs="Times New Roman"/>
          <w:szCs w:val="22"/>
        </w:rPr>
        <w:t xml:space="preserve"> Lors de la guerre dite de la Ligue d’Augsbourg (1688-1697), il apparaît que les grandes opérations françaises sur mer ont échoué et les forces anglaises attaquent même Brest en 1694. Cette année-là, la France souffre d’une crise économique et connaît une grande famine. Bart part de Dunkerque avec huit vaisseaux pour aller chercher une flotte transportant du blé, acheté en Pologne, pour le nord de la France. Ce convoi de cent voiles, protégé par des bateaux neutres, tombe sur huit vaisseaux de guerre hollandais qui s’en emparent. Le 29 juin, Bart attaque ces derniers malgré l’infériorité du nombre lors de la bataille du Texel. Il prend trois des huit navires hollandais et libère les marchands qui peuvent continuer leur route vers la France. Louis XIV anoblit Jean Bart pour cette belle action. </w:t>
      </w:r>
    </w:p>
    <w:p w14:paraId="60472AAC" w14:textId="77777777" w:rsidR="00B54EAE" w:rsidRPr="00B54EAE" w:rsidRDefault="00EE5E56" w:rsidP="00B54EAE">
      <w:pPr>
        <w:jc w:val="right"/>
        <w:rPr>
          <w:sz w:val="20"/>
          <w:szCs w:val="20"/>
        </w:rPr>
      </w:pPr>
      <w:r w:rsidRPr="00DE7722">
        <w:rPr>
          <w:sz w:val="20"/>
          <w:szCs w:val="20"/>
        </w:rPr>
        <w:t xml:space="preserve"> </w:t>
      </w:r>
      <w:r w:rsidR="00DE7722" w:rsidRPr="00DE7722">
        <w:rPr>
          <w:sz w:val="20"/>
          <w:szCs w:val="20"/>
        </w:rPr>
        <w:t xml:space="preserve">Lucien </w:t>
      </w:r>
      <w:proofErr w:type="spellStart"/>
      <w:r w:rsidR="00DE7722" w:rsidRPr="00793EFA">
        <w:rPr>
          <w:smallCaps/>
          <w:sz w:val="20"/>
          <w:szCs w:val="20"/>
        </w:rPr>
        <w:t>Bély</w:t>
      </w:r>
      <w:proofErr w:type="spellEnd"/>
      <w:r w:rsidR="00DE7722" w:rsidRPr="00DE7722">
        <w:rPr>
          <w:sz w:val="20"/>
          <w:szCs w:val="20"/>
        </w:rPr>
        <w:t xml:space="preserve">, « Bart, Jean (1650-1702) », dans Id., </w:t>
      </w:r>
      <w:r w:rsidR="00DE7722" w:rsidRPr="00DE7722">
        <w:rPr>
          <w:i/>
          <w:sz w:val="20"/>
          <w:szCs w:val="20"/>
        </w:rPr>
        <w:t>Dictionnaire Louis XIV</w:t>
      </w:r>
      <w:r w:rsidR="00DE7722" w:rsidRPr="00DE7722">
        <w:rPr>
          <w:sz w:val="20"/>
          <w:szCs w:val="20"/>
        </w:rPr>
        <w:t xml:space="preserve">, Paris, Robert Laffont, 2015, p. 146. </w:t>
      </w:r>
    </w:p>
    <w:p w14:paraId="253CFDE6" w14:textId="77777777" w:rsidR="00095F03" w:rsidRPr="00960E5C" w:rsidRDefault="00095F03" w:rsidP="00960E5C">
      <w:pPr>
        <w:spacing w:before="240"/>
        <w:ind w:firstLine="0"/>
        <w:rPr>
          <w:b/>
        </w:rPr>
      </w:pPr>
      <w:r w:rsidRPr="00960E5C">
        <w:rPr>
          <w:b/>
        </w:rPr>
        <w:t>3</w:t>
      </w:r>
      <w:r w:rsidR="007D74A0" w:rsidRPr="00960E5C">
        <w:rPr>
          <w:b/>
        </w:rPr>
        <w:t xml:space="preserve">. </w:t>
      </w:r>
      <w:r w:rsidR="00CC5426" w:rsidRPr="00960E5C">
        <w:rPr>
          <w:b/>
        </w:rPr>
        <w:t>L’anoblissement</w:t>
      </w:r>
      <w:r w:rsidR="009114D0" w:rsidRPr="00960E5C">
        <w:rPr>
          <w:b/>
        </w:rPr>
        <w:t xml:space="preserve">, un outil politique </w:t>
      </w:r>
    </w:p>
    <w:p w14:paraId="2FE52C3C" w14:textId="77777777" w:rsidR="00095F03" w:rsidRPr="00B54EAE" w:rsidRDefault="00095F03" w:rsidP="00095F03">
      <w:pPr>
        <w:rPr>
          <w:rFonts w:cs="Times New Roman"/>
        </w:rPr>
      </w:pPr>
      <w:r w:rsidRPr="00B54EAE">
        <w:t xml:space="preserve">En théorie, seul le roi peut anoblir l’un de ses sujets. Il récompense ainsi un homme pour les services qu’il a rendus, surtout sur le champ de bataille ou sur les mers. </w:t>
      </w:r>
      <w:r w:rsidR="00960E5C">
        <w:rPr>
          <w:rFonts w:ascii="Times New Roman" w:hAnsi="Times New Roman" w:cs="Times New Roman"/>
        </w:rPr>
        <w:t>[…]</w:t>
      </w:r>
      <w:r w:rsidRPr="00B54EAE">
        <w:t>. En octroyant la noblesse, le souverain change ainsi le statut d’une lignée, la fait accéder à une nature différente, hors de portée des autres hommes, et ce changement est définitif et héréditaire </w:t>
      </w:r>
      <w:r w:rsidR="00960E5C">
        <w:rPr>
          <w:rFonts w:ascii="Times New Roman" w:hAnsi="Times New Roman" w:cs="Times New Roman"/>
        </w:rPr>
        <w:t>[…]</w:t>
      </w:r>
      <w:r w:rsidRPr="00B54EAE">
        <w:t xml:space="preserve">. Le souverain dispose ainsi d’un immense pouvoir puisqu’il change le statut social d’un homme et de sa famille dans une société fortement inégalitaire que la noblesse domine et où elle dispose de droits particuliers comme celui de ne pas payer l’impôt direct. </w:t>
      </w:r>
      <w:r w:rsidRPr="00B54EAE">
        <w:rPr>
          <w:rFonts w:cs="Times New Roman"/>
        </w:rPr>
        <w:t>[…] En même temps, l’anoblissement est considéré parfois comme une nécessité : les guerres creusent les rangs des combattants et de lignages s’éteignent naturellement. La monarchie hésite, au XVII</w:t>
      </w:r>
      <w:r w:rsidRPr="00960E5C">
        <w:rPr>
          <w:rFonts w:cs="Times New Roman"/>
          <w:vertAlign w:val="superscript"/>
        </w:rPr>
        <w:t>e</w:t>
      </w:r>
      <w:r w:rsidRPr="00B54EAE">
        <w:rPr>
          <w:rFonts w:cs="Times New Roman"/>
        </w:rPr>
        <w:t xml:space="preserve"> siècle, à propos de sa noblesse. D’un côté, elle a la volonté de fermer la noblesse, de la « purifier » de ses éléments impurs et, d’un autre côté, elle souhaite l’ouvrir à des hommes nouveaux, riches et efficaces. </w:t>
      </w:r>
    </w:p>
    <w:p w14:paraId="05DEBECF" w14:textId="77777777" w:rsidR="004F4B66" w:rsidRPr="00B54EAE" w:rsidRDefault="00095F03" w:rsidP="00B54EAE">
      <w:pPr>
        <w:jc w:val="right"/>
        <w:rPr>
          <w:sz w:val="20"/>
        </w:rPr>
        <w:sectPr w:rsidR="004F4B66" w:rsidRPr="00B54EAE" w:rsidSect="00331953">
          <w:pgSz w:w="11905" w:h="16837"/>
          <w:pgMar w:top="885" w:right="1417" w:bottom="1417" w:left="1417" w:header="708" w:footer="708" w:gutter="0"/>
          <w:cols w:space="708"/>
          <w:docGrid w:linePitch="360"/>
          <w15:footnoteColumns w:val="2"/>
        </w:sectPr>
      </w:pPr>
      <w:r w:rsidRPr="00B54EAE">
        <w:rPr>
          <w:sz w:val="20"/>
        </w:rPr>
        <w:t xml:space="preserve">Lucien </w:t>
      </w:r>
      <w:proofErr w:type="spellStart"/>
      <w:r w:rsidRPr="00B54EAE">
        <w:rPr>
          <w:smallCaps/>
          <w:sz w:val="20"/>
        </w:rPr>
        <w:t>Bély</w:t>
      </w:r>
      <w:proofErr w:type="spellEnd"/>
      <w:r w:rsidRPr="00B54EAE">
        <w:rPr>
          <w:sz w:val="20"/>
        </w:rPr>
        <w:t xml:space="preserve">, « Anoblissement », dans Id., </w:t>
      </w:r>
      <w:r w:rsidRPr="00B54EAE">
        <w:rPr>
          <w:i/>
          <w:sz w:val="20"/>
        </w:rPr>
        <w:t>Dictionnaire Louis XIV</w:t>
      </w:r>
      <w:r w:rsidRPr="00B54EAE">
        <w:rPr>
          <w:sz w:val="20"/>
        </w:rPr>
        <w:t>, Paris, Robert Laffont, 2015, p. 97-98.</w:t>
      </w:r>
      <w:r w:rsidR="009114D0" w:rsidRPr="00B54EAE">
        <w:rPr>
          <w:sz w:val="20"/>
        </w:rPr>
        <w:t xml:space="preserve"> </w:t>
      </w:r>
      <w:r w:rsidR="007D74A0" w:rsidRPr="00B54EAE">
        <w:rPr>
          <w:sz w:val="20"/>
        </w:rPr>
        <w:t xml:space="preserve"> </w:t>
      </w:r>
    </w:p>
    <w:p w14:paraId="4D4AC9D7" w14:textId="77777777" w:rsidR="000F7A4D" w:rsidRPr="00607133" w:rsidRDefault="00462C27" w:rsidP="0024576A">
      <w:pPr>
        <w:pStyle w:val="Titre"/>
        <w:rPr>
          <w:rFonts w:cs="Times New Roman"/>
        </w:rPr>
      </w:pPr>
      <w:r w:rsidRPr="00607133">
        <w:rPr>
          <w:rFonts w:cs="Times New Roman"/>
        </w:rPr>
        <w:lastRenderedPageBreak/>
        <w:t xml:space="preserve">Séance </w:t>
      </w:r>
      <w:r w:rsidR="00343003">
        <w:rPr>
          <w:rFonts w:cs="Times New Roman"/>
        </w:rPr>
        <w:t>3</w:t>
      </w:r>
      <w:r w:rsidRPr="00607133">
        <w:rPr>
          <w:rFonts w:cs="Times New Roman"/>
        </w:rPr>
        <w:t>.</w:t>
      </w:r>
      <w:r w:rsidR="000F7A4D" w:rsidRPr="00607133">
        <w:rPr>
          <w:rFonts w:cs="Times New Roman"/>
        </w:rPr>
        <w:t xml:space="preserve"> </w:t>
      </w:r>
      <w:r w:rsidR="009C231E" w:rsidRPr="00607133">
        <w:rPr>
          <w:rFonts w:cs="Times New Roman"/>
        </w:rPr>
        <w:br/>
      </w:r>
      <w:r w:rsidR="000F7A4D" w:rsidRPr="00607133">
        <w:rPr>
          <w:rFonts w:cs="Times New Roman"/>
        </w:rPr>
        <w:t>La culture pamphlétaire dans la France d’Ancien Régime</w:t>
      </w:r>
    </w:p>
    <w:p w14:paraId="492E1140" w14:textId="77777777" w:rsidR="000F7A4D" w:rsidRPr="00607133" w:rsidRDefault="000F7A4D" w:rsidP="000F7A4D">
      <w:pPr>
        <w:pStyle w:val="Sansinterligne"/>
        <w:rPr>
          <w:rFonts w:cs="Times New Roman"/>
          <w:sz w:val="23"/>
          <w:szCs w:val="23"/>
        </w:rPr>
      </w:pPr>
      <w:r w:rsidRPr="00607133">
        <w:rPr>
          <w:rFonts w:cs="Times New Roman"/>
          <w:sz w:val="23"/>
          <w:szCs w:val="23"/>
        </w:rPr>
        <w:t>Source. Mazarinade « </w:t>
      </w:r>
      <w:r w:rsidRPr="00607133">
        <w:rPr>
          <w:rFonts w:cs="Times New Roman"/>
          <w:i/>
          <w:sz w:val="23"/>
          <w:szCs w:val="23"/>
        </w:rPr>
        <w:t>La Sybille moderne</w:t>
      </w:r>
      <w:r w:rsidRPr="00607133">
        <w:rPr>
          <w:rFonts w:cs="Times New Roman"/>
          <w:sz w:val="23"/>
          <w:szCs w:val="23"/>
        </w:rPr>
        <w:t> » de Cyrano de Bergerac (1649)</w:t>
      </w:r>
    </w:p>
    <w:p w14:paraId="07589D6B" w14:textId="77777777" w:rsidR="00AD06FF" w:rsidRPr="00E865DA" w:rsidRDefault="00343003" w:rsidP="00AD06FF">
      <w:pPr>
        <w:pStyle w:val="Notes"/>
        <w:spacing w:after="100" w:line="288" w:lineRule="auto"/>
        <w:ind w:firstLine="425"/>
        <w:rPr>
          <w:rFonts w:cs="Times New Roman"/>
          <w:sz w:val="22"/>
          <w:szCs w:val="23"/>
        </w:rPr>
      </w:pPr>
      <w:r w:rsidRPr="00E865DA">
        <w:rPr>
          <w:rFonts w:ascii="Times New Roman" w:hAnsi="Times New Roman" w:cs="Times New Roman"/>
          <w:sz w:val="22"/>
          <w:szCs w:val="23"/>
        </w:rPr>
        <w:t>[</w:t>
      </w:r>
      <w:r w:rsidR="00AD06FF"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xml:space="preserve"> Ceux qui ont parlé du cardinal</w:t>
      </w:r>
      <w:r w:rsidR="005B5CB4" w:rsidRPr="00E865DA">
        <w:rPr>
          <w:rFonts w:cs="Times New Roman"/>
          <w:sz w:val="22"/>
          <w:szCs w:val="23"/>
        </w:rPr>
        <w:t xml:space="preserve"> [Mazarin]</w:t>
      </w:r>
      <w:r w:rsidR="00AD06FF" w:rsidRPr="00E865DA">
        <w:rPr>
          <w:rFonts w:cs="Times New Roman"/>
          <w:sz w:val="22"/>
          <w:szCs w:val="23"/>
        </w:rPr>
        <w:t xml:space="preserve"> qui règne aujourd’hui peuvent être</w:t>
      </w:r>
      <w:r w:rsidRPr="00E865DA">
        <w:rPr>
          <w:rFonts w:cs="Times New Roman"/>
          <w:sz w:val="22"/>
          <w:szCs w:val="23"/>
        </w:rPr>
        <w:t xml:space="preserve"> </w:t>
      </w:r>
      <w:r w:rsidRPr="00E865DA">
        <w:rPr>
          <w:rFonts w:ascii="Times New Roman" w:hAnsi="Times New Roman" w:cs="Times New Roman"/>
          <w:sz w:val="22"/>
          <w:szCs w:val="23"/>
        </w:rPr>
        <w:t>[</w:t>
      </w:r>
      <w:r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xml:space="preserve"> accusés d’avoir représenté avec des vertus morales et chrétiennes un homme souillé de meurtres, d’empoisonnements et de sacrilèges,</w:t>
      </w:r>
      <w:r w:rsidRPr="00E865DA">
        <w:rPr>
          <w:rFonts w:cs="Times New Roman"/>
          <w:sz w:val="22"/>
          <w:szCs w:val="23"/>
        </w:rPr>
        <w:t xml:space="preserve"> </w:t>
      </w:r>
      <w:r w:rsidRPr="00E865DA">
        <w:rPr>
          <w:rFonts w:ascii="Times New Roman" w:hAnsi="Times New Roman" w:cs="Times New Roman"/>
          <w:sz w:val="22"/>
          <w:szCs w:val="23"/>
        </w:rPr>
        <w:t>[</w:t>
      </w:r>
      <w:r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Les Français qui l’ont vanté si hautement</w:t>
      </w:r>
      <w:r w:rsidRPr="00E865DA">
        <w:rPr>
          <w:rFonts w:cs="Times New Roman"/>
          <w:sz w:val="22"/>
          <w:szCs w:val="23"/>
        </w:rPr>
        <w:t xml:space="preserve"> </w:t>
      </w:r>
      <w:r w:rsidRPr="00E865DA">
        <w:rPr>
          <w:rFonts w:ascii="Times New Roman" w:hAnsi="Times New Roman" w:cs="Times New Roman"/>
          <w:sz w:val="22"/>
          <w:szCs w:val="23"/>
        </w:rPr>
        <w:t>[</w:t>
      </w:r>
      <w:r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xml:space="preserve"> ont été aussi galants que cet orateur qui écrivait les louanges de la fièvre à mesure que ses accès le faisaient trembler : ils ont eu des panégyriques pour un monstre à mesure qu’ils en étaient persécutés et n’ont pas moins fait par flatterie que les martyrs faisaient autrefois par un sentiment de la religion, lorsqu’ils bénissaient les bourreaux qui les déchiraient en pièces. </w:t>
      </w:r>
    </w:p>
    <w:p w14:paraId="6D9BCB30" w14:textId="77777777" w:rsidR="00AD06FF" w:rsidRPr="00E865DA" w:rsidRDefault="00343003" w:rsidP="00AD06FF">
      <w:pPr>
        <w:pStyle w:val="Notes"/>
        <w:spacing w:after="100" w:line="288" w:lineRule="auto"/>
        <w:ind w:firstLine="425"/>
        <w:rPr>
          <w:rFonts w:cs="Times New Roman"/>
          <w:sz w:val="22"/>
          <w:szCs w:val="23"/>
        </w:rPr>
      </w:pPr>
      <w:r w:rsidRPr="00E865DA">
        <w:rPr>
          <w:rFonts w:ascii="Times New Roman" w:hAnsi="Times New Roman" w:cs="Times New Roman"/>
          <w:sz w:val="22"/>
          <w:szCs w:val="23"/>
        </w:rPr>
        <w:t>[</w:t>
      </w:r>
      <w:r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xml:space="preserve"> Certes, il n’était pas vraisemblable qu’on dût faire passer pour un ministre fidèle celui qui usurpait l’autorité souveraine et qui désolait tout l’État ; qu’on dût nommer politique celui qui n’est adroit qu’aux dés et aux cartes ; qu’on eût de l’amour pour un agent qui doit toute sa réputation à ses crimes ; et qu’on eût de l’estime pour un gouverneur qui souffrait que la chambre du Roi retentît dans le jeu de mille blasphèmes pour lui apprendre à être dévot </w:t>
      </w:r>
      <w:r w:rsidRPr="00E865DA">
        <w:rPr>
          <w:rFonts w:ascii="Times New Roman" w:hAnsi="Times New Roman" w:cs="Times New Roman"/>
          <w:sz w:val="22"/>
          <w:szCs w:val="23"/>
        </w:rPr>
        <w:t>[</w:t>
      </w:r>
      <w:r w:rsidRPr="00E865DA">
        <w:rPr>
          <w:rFonts w:cs="Times New Roman"/>
          <w:sz w:val="22"/>
          <w:szCs w:val="23"/>
        </w:rPr>
        <w:t>…</w:t>
      </w:r>
      <w:r w:rsidRPr="00E865DA">
        <w:rPr>
          <w:rFonts w:ascii="Times New Roman" w:hAnsi="Times New Roman" w:cs="Times New Roman"/>
          <w:sz w:val="22"/>
          <w:szCs w:val="23"/>
        </w:rPr>
        <w:t>]</w:t>
      </w:r>
      <w:r w:rsidR="00AD06FF" w:rsidRPr="00E865DA">
        <w:rPr>
          <w:rFonts w:cs="Times New Roman"/>
          <w:sz w:val="22"/>
          <w:szCs w:val="23"/>
        </w:rPr>
        <w:t xml:space="preserve">. </w:t>
      </w:r>
    </w:p>
    <w:p w14:paraId="0CCEEEEB" w14:textId="77777777" w:rsidR="00AD06FF" w:rsidRPr="00E865DA" w:rsidRDefault="00AD06FF" w:rsidP="00AD06FF">
      <w:pPr>
        <w:pStyle w:val="Notes"/>
        <w:spacing w:after="100" w:line="288" w:lineRule="auto"/>
        <w:ind w:firstLine="425"/>
        <w:rPr>
          <w:rFonts w:cs="Times New Roman"/>
          <w:sz w:val="22"/>
          <w:szCs w:val="23"/>
        </w:rPr>
      </w:pPr>
      <w:r w:rsidRPr="00E865DA">
        <w:rPr>
          <w:rFonts w:cs="Times New Roman"/>
          <w:sz w:val="22"/>
          <w:szCs w:val="23"/>
        </w:rPr>
        <w:t xml:space="preserve"> </w:t>
      </w:r>
      <w:r w:rsidR="00343003" w:rsidRPr="00E865DA">
        <w:rPr>
          <w:rFonts w:ascii="Times New Roman" w:hAnsi="Times New Roman" w:cs="Times New Roman"/>
          <w:sz w:val="22"/>
          <w:szCs w:val="23"/>
        </w:rPr>
        <w:t>[</w:t>
      </w:r>
      <w:r w:rsidR="00343003" w:rsidRPr="00E865DA">
        <w:rPr>
          <w:rFonts w:cs="Times New Roman"/>
          <w:sz w:val="22"/>
          <w:szCs w:val="23"/>
        </w:rPr>
        <w:t>…</w:t>
      </w:r>
      <w:r w:rsidR="00343003" w:rsidRPr="00E865DA">
        <w:rPr>
          <w:rFonts w:ascii="Times New Roman" w:hAnsi="Times New Roman" w:cs="Times New Roman"/>
          <w:sz w:val="22"/>
          <w:szCs w:val="23"/>
        </w:rPr>
        <w:t>]</w:t>
      </w:r>
      <w:r w:rsidRPr="00E865DA">
        <w:rPr>
          <w:rFonts w:cs="Times New Roman"/>
          <w:sz w:val="22"/>
          <w:szCs w:val="23"/>
        </w:rPr>
        <w:t xml:space="preserve"> Il n’eût jamais été permis au cardinal Mazarin d’ouvrir la bouche dans les Conseils ni dans les assemblées publiques, </w:t>
      </w:r>
      <w:r w:rsidR="00343003" w:rsidRPr="00E865DA">
        <w:rPr>
          <w:rFonts w:ascii="Times New Roman" w:hAnsi="Times New Roman" w:cs="Times New Roman"/>
          <w:sz w:val="22"/>
          <w:szCs w:val="23"/>
        </w:rPr>
        <w:t>[</w:t>
      </w:r>
      <w:r w:rsidR="00343003" w:rsidRPr="00E865DA">
        <w:rPr>
          <w:rFonts w:cs="Times New Roman"/>
          <w:sz w:val="22"/>
          <w:szCs w:val="23"/>
        </w:rPr>
        <w:t>…</w:t>
      </w:r>
      <w:r w:rsidR="00343003" w:rsidRPr="00E865DA">
        <w:rPr>
          <w:rFonts w:ascii="Times New Roman" w:hAnsi="Times New Roman" w:cs="Times New Roman"/>
          <w:sz w:val="22"/>
          <w:szCs w:val="23"/>
        </w:rPr>
        <w:t>]</w:t>
      </w:r>
      <w:r w:rsidRPr="00E865DA">
        <w:rPr>
          <w:rFonts w:cs="Times New Roman"/>
          <w:sz w:val="22"/>
          <w:szCs w:val="23"/>
        </w:rPr>
        <w:t>, et tous ses arrêts n’eussent eu crédit que dans les brelans et dans les académies</w:t>
      </w:r>
      <w:r w:rsidRPr="00E865DA">
        <w:rPr>
          <w:rStyle w:val="Appelnotedebasdep"/>
          <w:rFonts w:cs="Times New Roman"/>
          <w:sz w:val="22"/>
          <w:szCs w:val="23"/>
        </w:rPr>
        <w:footnoteReference w:id="1"/>
      </w:r>
      <w:r w:rsidRPr="00E865DA">
        <w:rPr>
          <w:rFonts w:cs="Times New Roman"/>
          <w:sz w:val="22"/>
          <w:szCs w:val="23"/>
        </w:rPr>
        <w:t xml:space="preserve">. </w:t>
      </w:r>
      <w:r w:rsidR="006A2F4A" w:rsidRPr="00E865DA">
        <w:rPr>
          <w:rFonts w:cs="Times New Roman"/>
          <w:sz w:val="22"/>
          <w:szCs w:val="23"/>
        </w:rPr>
        <w:t>(…) O</w:t>
      </w:r>
      <w:r w:rsidRPr="00E865DA">
        <w:rPr>
          <w:rFonts w:cs="Times New Roman"/>
          <w:sz w:val="22"/>
          <w:szCs w:val="23"/>
        </w:rPr>
        <w:t xml:space="preserve">n ne lui a pas seulement ouvert la porte dans le Conseil, on a voulu qu’il y fit éclater ses sentiments, et que les sages les révérassent comme des lois et des oracles. C’est ainsi qu’il a persuadé aux uns et aux autres qu’il fallait entretenir la guerre pour leur intérêt ou pour leur gloire, qu’on ne pouvait mieux purger la France de séditieux qu’en lui tirant ce qui lui restait de sang dans les veines, </w:t>
      </w:r>
      <w:r w:rsidR="006A2F4A" w:rsidRPr="00E865DA">
        <w:rPr>
          <w:rFonts w:cs="Times New Roman"/>
          <w:sz w:val="22"/>
          <w:szCs w:val="23"/>
        </w:rPr>
        <w:t>(…)</w:t>
      </w:r>
      <w:r w:rsidRPr="00E865DA">
        <w:rPr>
          <w:rFonts w:cs="Times New Roman"/>
          <w:sz w:val="22"/>
          <w:szCs w:val="23"/>
        </w:rPr>
        <w:t>. Comme on dit que les lois de Dracon</w:t>
      </w:r>
      <w:r w:rsidR="005B5CB4" w:rsidRPr="00E865DA">
        <w:rPr>
          <w:rStyle w:val="Appelnotedebasdep"/>
          <w:rFonts w:cs="Times New Roman"/>
          <w:sz w:val="22"/>
          <w:szCs w:val="23"/>
        </w:rPr>
        <w:footnoteReference w:id="2"/>
      </w:r>
      <w:r w:rsidRPr="00E865DA">
        <w:rPr>
          <w:rFonts w:cs="Times New Roman"/>
          <w:sz w:val="22"/>
          <w:szCs w:val="23"/>
        </w:rPr>
        <w:t xml:space="preserve"> étaient plutôt écrites avec du sang qu’avec de l’encre, celle-ci ne fut enregistrée que sur des tombeaux et sur des ruines, </w:t>
      </w:r>
      <w:r w:rsidR="006A2F4A" w:rsidRPr="00E865DA">
        <w:rPr>
          <w:rFonts w:cs="Times New Roman"/>
          <w:sz w:val="22"/>
          <w:szCs w:val="23"/>
        </w:rPr>
        <w:t>(…)</w:t>
      </w:r>
      <w:r w:rsidRPr="00E865DA">
        <w:rPr>
          <w:rFonts w:cs="Times New Roman"/>
          <w:sz w:val="22"/>
          <w:szCs w:val="23"/>
        </w:rPr>
        <w:t xml:space="preserve">, et pour la faire passer, on n’épargna ni la liberté des princes, ni les conquêtes des grands, ni l’autorité des juges, ni le ministère des prélats, ni le caractère des prêtres, ni les privilèges de la Noblesse, ni le sang du peuple. Les intendants de justice furent envoyés dans les provinces pour violer ou pour abolir jusqu’au droit des gens ; (…) et ceux qui osèrent murmurer contre ce décret furent déclarés rebelles, et n’ont été guère mieux traités que des incendiaires et des parricides. </w:t>
      </w:r>
    </w:p>
    <w:p w14:paraId="79B07839" w14:textId="77777777" w:rsidR="00AD06FF" w:rsidRPr="00E865DA" w:rsidRDefault="00AD06FF" w:rsidP="00AD06FF">
      <w:pPr>
        <w:pStyle w:val="Notes"/>
        <w:spacing w:after="100" w:line="288" w:lineRule="auto"/>
        <w:ind w:firstLine="425"/>
        <w:rPr>
          <w:rFonts w:cs="Times New Roman"/>
          <w:sz w:val="22"/>
          <w:szCs w:val="23"/>
        </w:rPr>
      </w:pPr>
      <w:r w:rsidRPr="00E865DA">
        <w:rPr>
          <w:rFonts w:cs="Times New Roman"/>
          <w:sz w:val="22"/>
          <w:szCs w:val="23"/>
        </w:rPr>
        <w:t>Je veux simplement vous avertir que la guerre qu’il vient d’allumer au milieu de ce royaume lui doit être aussi fatale qu’elle nous doit être sensible. (…) Si nous n’avons suivi tout à fait le cardinal Mazarin dans les épousailles de ses nièces</w:t>
      </w:r>
      <w:r w:rsidRPr="00E865DA">
        <w:rPr>
          <w:rStyle w:val="Appelnotedebasdep"/>
          <w:rFonts w:cs="Times New Roman"/>
          <w:sz w:val="22"/>
          <w:szCs w:val="23"/>
        </w:rPr>
        <w:footnoteReference w:id="3"/>
      </w:r>
      <w:r w:rsidRPr="00E865DA">
        <w:rPr>
          <w:rFonts w:cs="Times New Roman"/>
          <w:sz w:val="22"/>
          <w:szCs w:val="23"/>
        </w:rPr>
        <w:t xml:space="preserve">, nous l’avons remarqué jusqu’ici dans un état magnifique : nous l’avons vu comme le premier et le plus superbe des ministres, il a joué un personnage de roi, et nous le verrons dépouillé de ses ornements et plus misérable dans sa mort qu’il n’a été glorieux durant sa vie. </w:t>
      </w:r>
    </w:p>
    <w:p w14:paraId="02010E29" w14:textId="77777777" w:rsidR="00AD06FF" w:rsidRPr="00E865DA" w:rsidRDefault="00AD06FF" w:rsidP="00AD06FF">
      <w:pPr>
        <w:pStyle w:val="Notes"/>
        <w:spacing w:after="100" w:line="288" w:lineRule="auto"/>
        <w:ind w:firstLine="425"/>
        <w:rPr>
          <w:rFonts w:cs="Times New Roman"/>
          <w:sz w:val="21"/>
        </w:rPr>
      </w:pPr>
      <w:r w:rsidRPr="00E865DA">
        <w:rPr>
          <w:rFonts w:cs="Times New Roman"/>
          <w:sz w:val="22"/>
          <w:szCs w:val="23"/>
        </w:rPr>
        <w:t>Ceux qui le protègent doivent craindre Dieu, si les belles qualités qu’ils ont apportées au monde les empêchent de craindre les hommes. (…) Monseigneur le Prince</w:t>
      </w:r>
      <w:r w:rsidR="005B5CB4" w:rsidRPr="00E865DA">
        <w:rPr>
          <w:rStyle w:val="Appelnotedebasdep"/>
          <w:rFonts w:cs="Times New Roman"/>
          <w:sz w:val="22"/>
          <w:szCs w:val="23"/>
        </w:rPr>
        <w:footnoteReference w:id="4"/>
      </w:r>
      <w:r w:rsidRPr="00E865DA">
        <w:rPr>
          <w:rFonts w:cs="Times New Roman"/>
          <w:sz w:val="22"/>
          <w:szCs w:val="23"/>
        </w:rPr>
        <w:t xml:space="preserve"> en a été déjà frappé dans la personne de deux favoris</w:t>
      </w:r>
      <w:r w:rsidRPr="00E865DA">
        <w:rPr>
          <w:rStyle w:val="Appelnotedebasdep"/>
          <w:rFonts w:cs="Times New Roman"/>
          <w:sz w:val="22"/>
          <w:szCs w:val="23"/>
        </w:rPr>
        <w:footnoteReference w:id="5"/>
      </w:r>
      <w:r w:rsidRPr="00E865DA">
        <w:rPr>
          <w:rFonts w:cs="Times New Roman"/>
          <w:sz w:val="22"/>
          <w:szCs w:val="23"/>
        </w:rPr>
        <w:t xml:space="preserve"> ; il en a regretté la perte ; il est encore en son pouvoir de nous empêcher de pleurer la sienne. Quelle honte et quel malheur qu’un cardinal tout souillé de crimes souille aujourd’hui l’État du plus pur et du plus illustre sang dont il ait droit de se prévaloir ! (…) </w:t>
      </w:r>
    </w:p>
    <w:p w14:paraId="7D88DA49" w14:textId="77777777" w:rsidR="009C231E" w:rsidRPr="00E865DA" w:rsidRDefault="00AD06FF" w:rsidP="00E865DA">
      <w:pPr>
        <w:pStyle w:val="Notes"/>
        <w:suppressLineNumbers/>
        <w:spacing w:before="240"/>
        <w:jc w:val="right"/>
        <w:rPr>
          <w:rFonts w:cs="Times New Roman"/>
        </w:rPr>
      </w:pPr>
      <w:r w:rsidRPr="00132DD5">
        <w:rPr>
          <w:rFonts w:cs="Times New Roman"/>
        </w:rPr>
        <w:t>« La Sibylle moderne, ou l’Oracle du temps »</w:t>
      </w:r>
      <w:r w:rsidR="00132DD5" w:rsidRPr="00132DD5">
        <w:rPr>
          <w:rFonts w:cs="Times New Roman"/>
        </w:rPr>
        <w:t xml:space="preserve"> [</w:t>
      </w:r>
      <w:r w:rsidR="00132DD5" w:rsidRPr="00285F83">
        <w:rPr>
          <w:rFonts w:cs="Times New Roman"/>
        </w:rPr>
        <w:t>février 1649</w:t>
      </w:r>
      <w:r w:rsidR="00132DD5" w:rsidRPr="00132DD5">
        <w:rPr>
          <w:rFonts w:cs="Times New Roman"/>
        </w:rPr>
        <w:t>]</w:t>
      </w:r>
      <w:r w:rsidRPr="00132DD5">
        <w:rPr>
          <w:rFonts w:cs="Times New Roman"/>
        </w:rPr>
        <w:t xml:space="preserve">, </w:t>
      </w:r>
      <w:r w:rsidRPr="00132DD5">
        <w:rPr>
          <w:rFonts w:cs="Times New Roman"/>
        </w:rPr>
        <w:br/>
        <w:t xml:space="preserve">cité depuis Cyrano de Bergerac, </w:t>
      </w:r>
      <w:r w:rsidRPr="00132DD5">
        <w:rPr>
          <w:rFonts w:cs="Times New Roman"/>
          <w:i/>
        </w:rPr>
        <w:t>Œuvres complètes</w:t>
      </w:r>
      <w:r w:rsidRPr="00132DD5">
        <w:rPr>
          <w:rFonts w:cs="Times New Roman"/>
        </w:rPr>
        <w:t xml:space="preserve">, Paris, H. Champion, 2000, p. 343-350. </w:t>
      </w:r>
    </w:p>
    <w:p w14:paraId="062B26D9" w14:textId="77777777" w:rsidR="00E56788" w:rsidRDefault="00E56788" w:rsidP="00E56788">
      <w:pPr>
        <w:pStyle w:val="Sansinterligne"/>
        <w:rPr>
          <w:rFonts w:cs="Times New Roman"/>
          <w:sz w:val="23"/>
          <w:szCs w:val="23"/>
        </w:rPr>
      </w:pPr>
      <w:r w:rsidRPr="00607133">
        <w:rPr>
          <w:rFonts w:cs="Times New Roman"/>
          <w:sz w:val="23"/>
          <w:szCs w:val="23"/>
        </w:rPr>
        <w:lastRenderedPageBreak/>
        <w:t xml:space="preserve">Bibliographie indicative </w:t>
      </w:r>
    </w:p>
    <w:p w14:paraId="407E14D8" w14:textId="77777777" w:rsidR="00E56788" w:rsidRPr="00D3530C" w:rsidRDefault="00E56788" w:rsidP="00E56788">
      <w:pPr>
        <w:pStyle w:val="Biblio"/>
        <w:spacing w:after="60"/>
        <w:jc w:val="left"/>
        <w:rPr>
          <w:sz w:val="21"/>
          <w:szCs w:val="21"/>
        </w:rPr>
      </w:pPr>
      <w:proofErr w:type="spellStart"/>
      <w:r w:rsidRPr="00D3530C">
        <w:rPr>
          <w:rFonts w:cs="Times New Roman (Corps CS)"/>
          <w:smallCaps/>
          <w:sz w:val="21"/>
          <w:szCs w:val="21"/>
        </w:rPr>
        <w:t>Bély</w:t>
      </w:r>
      <w:proofErr w:type="spellEnd"/>
      <w:r w:rsidRPr="00D3530C">
        <w:rPr>
          <w:rFonts w:cs="Times New Roman (Corps CS)"/>
          <w:smallCaps/>
          <w:sz w:val="21"/>
          <w:szCs w:val="21"/>
        </w:rPr>
        <w:t xml:space="preserve">, </w:t>
      </w:r>
      <w:r w:rsidRPr="00D3530C">
        <w:rPr>
          <w:rFonts w:cs="Times New Roman (Corps CS)"/>
          <w:sz w:val="21"/>
          <w:szCs w:val="21"/>
        </w:rPr>
        <w:t>Lucien (dir.)</w:t>
      </w:r>
      <w:r w:rsidRPr="00D3530C">
        <w:rPr>
          <w:sz w:val="21"/>
          <w:szCs w:val="21"/>
        </w:rPr>
        <w:t xml:space="preserve">, </w:t>
      </w:r>
      <w:r w:rsidRPr="00D3530C">
        <w:rPr>
          <w:i/>
          <w:sz w:val="21"/>
          <w:szCs w:val="21"/>
        </w:rPr>
        <w:t>Dictionnaire Louis XIV</w:t>
      </w:r>
      <w:r w:rsidRPr="00D3530C">
        <w:rPr>
          <w:sz w:val="21"/>
          <w:szCs w:val="21"/>
        </w:rPr>
        <w:t xml:space="preserve">, Paris, Robert Laffont, 2015, p. 527-539 et 889-900. </w:t>
      </w:r>
    </w:p>
    <w:p w14:paraId="3FF27D48" w14:textId="77777777" w:rsidR="00E56788" w:rsidRPr="00D3530C" w:rsidRDefault="00E56788" w:rsidP="00E56788">
      <w:pPr>
        <w:pStyle w:val="Biblio"/>
        <w:rPr>
          <w:sz w:val="21"/>
          <w:szCs w:val="21"/>
        </w:rPr>
      </w:pPr>
      <w:r w:rsidRPr="00D3530C">
        <w:rPr>
          <w:rFonts w:cs="Times New Roman (Corps CS)"/>
          <w:smallCaps/>
          <w:sz w:val="21"/>
          <w:szCs w:val="21"/>
        </w:rPr>
        <w:t>Carrier</w:t>
      </w:r>
      <w:r w:rsidRPr="00D3530C">
        <w:rPr>
          <w:sz w:val="21"/>
          <w:szCs w:val="21"/>
        </w:rPr>
        <w:t xml:space="preserve">, Hubert, </w:t>
      </w:r>
      <w:r w:rsidRPr="00D3530C">
        <w:rPr>
          <w:i/>
          <w:sz w:val="21"/>
          <w:szCs w:val="21"/>
        </w:rPr>
        <w:t>Les Mazarinades</w:t>
      </w:r>
      <w:r w:rsidRPr="00D3530C">
        <w:rPr>
          <w:sz w:val="21"/>
          <w:szCs w:val="21"/>
        </w:rPr>
        <w:t xml:space="preserve">, 2 vol., Genève, Droz, 1989-1991. </w:t>
      </w:r>
    </w:p>
    <w:p w14:paraId="54BD12B0" w14:textId="77777777" w:rsidR="00E56788" w:rsidRPr="00D3530C" w:rsidRDefault="00E56788" w:rsidP="00E56788">
      <w:pPr>
        <w:pStyle w:val="Biblio"/>
        <w:rPr>
          <w:sz w:val="21"/>
          <w:szCs w:val="21"/>
        </w:rPr>
      </w:pPr>
      <w:proofErr w:type="spellStart"/>
      <w:r w:rsidRPr="00D3530C">
        <w:rPr>
          <w:rFonts w:cs="Times New Roman (Corps CS)"/>
          <w:smallCaps/>
          <w:sz w:val="21"/>
          <w:szCs w:val="21"/>
        </w:rPr>
        <w:t>Jouanna</w:t>
      </w:r>
      <w:proofErr w:type="spellEnd"/>
      <w:r w:rsidRPr="00D3530C">
        <w:rPr>
          <w:sz w:val="21"/>
          <w:szCs w:val="21"/>
        </w:rPr>
        <w:t xml:space="preserve">, Arlette, </w:t>
      </w:r>
      <w:r w:rsidRPr="00D3530C">
        <w:rPr>
          <w:i/>
          <w:sz w:val="21"/>
          <w:szCs w:val="21"/>
        </w:rPr>
        <w:t>Le prince absolu : apogée et déclin de l'imaginaire monarchique</w:t>
      </w:r>
      <w:r w:rsidRPr="00D3530C">
        <w:rPr>
          <w:sz w:val="21"/>
          <w:szCs w:val="21"/>
        </w:rPr>
        <w:t xml:space="preserve">, Paris, Gallimard, 2014. </w:t>
      </w:r>
    </w:p>
    <w:p w14:paraId="7482DA7A" w14:textId="77777777" w:rsidR="00E56788" w:rsidRPr="00D3530C" w:rsidRDefault="00E56788" w:rsidP="00E56788">
      <w:pPr>
        <w:pStyle w:val="Biblio"/>
        <w:spacing w:before="60"/>
        <w:jc w:val="left"/>
        <w:rPr>
          <w:sz w:val="21"/>
          <w:szCs w:val="21"/>
        </w:rPr>
      </w:pPr>
      <w:r w:rsidRPr="00D3530C">
        <w:rPr>
          <w:smallCaps/>
          <w:sz w:val="21"/>
          <w:szCs w:val="21"/>
        </w:rPr>
        <w:t>Pernot</w:t>
      </w:r>
      <w:r w:rsidRPr="00D3530C">
        <w:rPr>
          <w:sz w:val="21"/>
          <w:szCs w:val="21"/>
        </w:rPr>
        <w:t xml:space="preserve">, Michel, </w:t>
      </w:r>
      <w:r w:rsidRPr="00D3530C">
        <w:rPr>
          <w:i/>
          <w:sz w:val="21"/>
          <w:szCs w:val="21"/>
        </w:rPr>
        <w:t xml:space="preserve">La Fronde, </w:t>
      </w:r>
      <w:r w:rsidRPr="00D3530C">
        <w:rPr>
          <w:sz w:val="21"/>
          <w:szCs w:val="21"/>
        </w:rPr>
        <w:t xml:space="preserve">Paris, Tallandier, 2012. </w:t>
      </w:r>
    </w:p>
    <w:p w14:paraId="5B0473C7" w14:textId="77777777" w:rsidR="00E56788" w:rsidRPr="00D3530C" w:rsidRDefault="00E56788" w:rsidP="00E56788">
      <w:pPr>
        <w:pStyle w:val="Biblio"/>
        <w:rPr>
          <w:sz w:val="21"/>
          <w:szCs w:val="21"/>
        </w:rPr>
      </w:pPr>
      <w:r w:rsidRPr="00D3530C">
        <w:rPr>
          <w:rFonts w:cs="Times New Roman (Corps CS)"/>
          <w:smallCaps/>
          <w:sz w:val="21"/>
          <w:szCs w:val="21"/>
        </w:rPr>
        <w:t>Prévot</w:t>
      </w:r>
      <w:r w:rsidRPr="00D3530C">
        <w:rPr>
          <w:sz w:val="21"/>
          <w:szCs w:val="21"/>
        </w:rPr>
        <w:t xml:space="preserve">, Jacques, </w:t>
      </w:r>
      <w:r w:rsidRPr="00D3530C">
        <w:rPr>
          <w:i/>
          <w:sz w:val="21"/>
          <w:szCs w:val="21"/>
        </w:rPr>
        <w:t>Cyrano de Bergerac : l'écrivain de la crise</w:t>
      </w:r>
      <w:r w:rsidRPr="00D3530C">
        <w:rPr>
          <w:sz w:val="21"/>
          <w:szCs w:val="21"/>
        </w:rPr>
        <w:t xml:space="preserve">, Paris, Ellipses, 2011, p. 137-167. </w:t>
      </w:r>
    </w:p>
    <w:p w14:paraId="54DA8411" w14:textId="77777777" w:rsidR="004F1EE4" w:rsidRDefault="00D3530C" w:rsidP="009C231E">
      <w:pPr>
        <w:pStyle w:val="Sansinterligne"/>
        <w:rPr>
          <w:rFonts w:cs="Times New Roman"/>
          <w:sz w:val="23"/>
          <w:szCs w:val="23"/>
        </w:rPr>
      </w:pPr>
      <w:r>
        <w:rPr>
          <w:rFonts w:cs="Times New Roman"/>
          <w:sz w:val="23"/>
          <w:szCs w:val="23"/>
        </w:rPr>
        <w:t xml:space="preserve">Documents annexes </w:t>
      </w:r>
    </w:p>
    <w:p w14:paraId="5E0953CB" w14:textId="77777777" w:rsidR="009C231E" w:rsidRDefault="009C231E" w:rsidP="009C231E">
      <w:pPr>
        <w:pStyle w:val="Sansinterligne"/>
        <w:rPr>
          <w:rFonts w:cs="Times New Roman"/>
          <w:sz w:val="23"/>
          <w:szCs w:val="23"/>
        </w:rPr>
      </w:pPr>
      <w:r w:rsidRPr="00607133">
        <w:rPr>
          <w:rFonts w:cs="Times New Roman"/>
          <w:sz w:val="23"/>
          <w:szCs w:val="23"/>
        </w:rPr>
        <w:t xml:space="preserve">1. Qu’est-ce que la Fronde ? </w:t>
      </w:r>
    </w:p>
    <w:p w14:paraId="26E087DC" w14:textId="77777777" w:rsidR="00E865DA" w:rsidRPr="00974EAB" w:rsidRDefault="00E865DA" w:rsidP="00E865DA">
      <w:pPr>
        <w:rPr>
          <w:sz w:val="23"/>
          <w:szCs w:val="23"/>
        </w:rPr>
      </w:pPr>
      <w:r w:rsidRPr="00D3530C">
        <w:rPr>
          <w:rFonts w:cs="Times New Roman"/>
          <w:szCs w:val="23"/>
        </w:rPr>
        <w:t>[À l’hiver 1649], les troupes de Condé font le blocus de Paris : elles comptent de 8 000 à 10 000 hommes. En revanche, Conti, qui a quitté la cour, devient généralissime des troupes de la Fronde et des gentilshommes lui offrent leurs services. Des combats ont lieu aux portes de Paris, à Charenton, le 8 février 1649, entre les troupes royales et celles des Frondeurs, qui tentent de ravitailler la cité. Les soldats du roi ravagent le sud de l’Île-de-France</w:t>
      </w:r>
      <w:r w:rsidRPr="00974EAB">
        <w:rPr>
          <w:rFonts w:cs="Times New Roman"/>
          <w:sz w:val="23"/>
          <w:szCs w:val="23"/>
        </w:rPr>
        <w:t xml:space="preserve">. </w:t>
      </w:r>
    </w:p>
    <w:p w14:paraId="0EC8D918" w14:textId="77777777" w:rsidR="009C231E" w:rsidRDefault="00E865DA" w:rsidP="00D3530C">
      <w:pPr>
        <w:pStyle w:val="Notes"/>
        <w:suppressLineNumbers/>
        <w:spacing w:before="120" w:after="180"/>
        <w:jc w:val="right"/>
        <w:rPr>
          <w:rFonts w:cs="Times New Roman"/>
        </w:rPr>
      </w:pPr>
      <w:r>
        <w:rPr>
          <w:rFonts w:cs="Times New Roman"/>
        </w:rPr>
        <w:t xml:space="preserve">Lucien </w:t>
      </w:r>
      <w:proofErr w:type="spellStart"/>
      <w:r>
        <w:rPr>
          <w:rFonts w:cs="Times New Roman"/>
          <w:smallCaps/>
        </w:rPr>
        <w:t>Bély</w:t>
      </w:r>
      <w:proofErr w:type="spellEnd"/>
      <w:r>
        <w:rPr>
          <w:rFonts w:cs="Times New Roman"/>
          <w:smallCaps/>
        </w:rPr>
        <w:t xml:space="preserve">, </w:t>
      </w:r>
      <w:r w:rsidR="009C231E" w:rsidRPr="00607133">
        <w:rPr>
          <w:rFonts w:cs="Times New Roman"/>
        </w:rPr>
        <w:t xml:space="preserve">« </w:t>
      </w:r>
      <w:r>
        <w:rPr>
          <w:rFonts w:cs="Times New Roman"/>
        </w:rPr>
        <w:t>Fronde (1648-1649) : des barricades à la nuit des rois</w:t>
      </w:r>
      <w:r w:rsidR="009C231E" w:rsidRPr="00607133">
        <w:rPr>
          <w:rFonts w:cs="Times New Roman"/>
        </w:rPr>
        <w:t xml:space="preserve"> », </w:t>
      </w:r>
      <w:r w:rsidR="009C231E" w:rsidRPr="00607133">
        <w:rPr>
          <w:rFonts w:cs="Times New Roman"/>
        </w:rPr>
        <w:br/>
        <w:t xml:space="preserve">dans </w:t>
      </w:r>
      <w:r w:rsidR="009F00CD" w:rsidRPr="009F00CD">
        <w:rPr>
          <w:rFonts w:cs="Times New Roman"/>
          <w:smallCaps/>
        </w:rPr>
        <w:t>Id</w:t>
      </w:r>
      <w:r w:rsidR="009F00CD">
        <w:rPr>
          <w:rFonts w:cs="Times New Roman"/>
        </w:rPr>
        <w:t>.</w:t>
      </w:r>
      <w:r w:rsidR="009C231E" w:rsidRPr="00607133">
        <w:rPr>
          <w:rFonts w:cs="Times New Roman"/>
        </w:rPr>
        <w:t xml:space="preserve">, </w:t>
      </w:r>
      <w:r w:rsidR="009C231E" w:rsidRPr="00607133">
        <w:rPr>
          <w:rFonts w:cs="Times New Roman"/>
          <w:i/>
        </w:rPr>
        <w:t>Dictionnaire Louis XIV</w:t>
      </w:r>
      <w:r w:rsidR="009C231E" w:rsidRPr="00607133">
        <w:rPr>
          <w:rFonts w:cs="Times New Roman"/>
        </w:rPr>
        <w:t>, Paris, R. Laffont, 2015, p</w:t>
      </w:r>
      <w:r>
        <w:rPr>
          <w:rFonts w:cs="Times New Roman"/>
        </w:rPr>
        <w:t>. 539</w:t>
      </w:r>
      <w:r w:rsidR="009C231E" w:rsidRPr="00607133">
        <w:rPr>
          <w:rFonts w:cs="Times New Roman"/>
        </w:rPr>
        <w:t xml:space="preserve">. </w:t>
      </w:r>
    </w:p>
    <w:p w14:paraId="4A3D1CD9" w14:textId="77777777" w:rsidR="000009C2" w:rsidRPr="00D3530C" w:rsidRDefault="000009C2" w:rsidP="000009C2">
      <w:pPr>
        <w:rPr>
          <w:rFonts w:cs="Times New Roman"/>
          <w:szCs w:val="23"/>
        </w:rPr>
      </w:pPr>
      <w:r w:rsidRPr="00D3530C">
        <w:rPr>
          <w:rFonts w:cs="Times New Roman"/>
          <w:szCs w:val="23"/>
        </w:rPr>
        <w:t>Pendant toute la durée de la Fronde, l’opinion publique, surtout à Paris, a joué un rôle déterminant</w:t>
      </w:r>
      <w:r w:rsidR="005C325E" w:rsidRPr="00D3530C">
        <w:rPr>
          <w:rFonts w:cs="Times New Roman"/>
          <w:szCs w:val="23"/>
        </w:rPr>
        <w:t xml:space="preserve"> </w:t>
      </w:r>
      <w:r w:rsidRPr="00D3530C">
        <w:rPr>
          <w:rFonts w:cs="Times New Roman"/>
          <w:szCs w:val="23"/>
        </w:rPr>
        <w:t>[…]</w:t>
      </w:r>
      <w:r w:rsidR="00337689" w:rsidRPr="00D3530C">
        <w:rPr>
          <w:rFonts w:cs="Times New Roman"/>
          <w:szCs w:val="23"/>
        </w:rPr>
        <w:t>.</w:t>
      </w:r>
      <w:r w:rsidRPr="00D3530C">
        <w:rPr>
          <w:rFonts w:cs="Times New Roman"/>
          <w:szCs w:val="23"/>
        </w:rPr>
        <w:t xml:space="preserve"> À une époque où les journaux n’existent pas encore, ce sont les libelles et les pamphlets, les placards et les feuilles volantes, les pièces de vers et les chansons qui constituent les instruments par excellence du combat politique. Ils traduisent les aspirations de l’opinion mais ils contribuent aussi à la modeler, à la manipuler. Tout cela n’est pas nouveau car il existe, en France, une tradition de littérature politique qui remonte aux guerres de Religion, […]. Ce qui est nouveau, c’est la quantité énorme de libelles qui apparaît en 1648 et surtout pendant le blocus de Paris par Condé. Plus d’un millier de pamphlets voient le jour en trois mois selon les calculs de Hubert Carrier. On regroupe cette littérature sous le vocable générique de </w:t>
      </w:r>
      <w:r w:rsidRPr="00D3530C">
        <w:rPr>
          <w:rFonts w:cs="Times New Roman"/>
          <w:i/>
          <w:szCs w:val="23"/>
        </w:rPr>
        <w:t xml:space="preserve">mazarinades </w:t>
      </w:r>
      <w:r w:rsidRPr="00D3530C">
        <w:rPr>
          <w:rFonts w:cs="Times New Roman"/>
          <w:szCs w:val="23"/>
        </w:rPr>
        <w:t xml:space="preserve">[…]. Pour l’ensemble de la Fronde, on en dénombre environ 6 000 dont 5 200 ont été imprimées. </w:t>
      </w:r>
    </w:p>
    <w:p w14:paraId="25889457" w14:textId="77777777" w:rsidR="000009C2" w:rsidRPr="00974EAB" w:rsidRDefault="000009C2" w:rsidP="000009C2">
      <w:pPr>
        <w:rPr>
          <w:rFonts w:cs="Times New Roman"/>
          <w:sz w:val="23"/>
          <w:szCs w:val="23"/>
        </w:rPr>
      </w:pPr>
      <w:r w:rsidRPr="00D3530C">
        <w:rPr>
          <w:rFonts w:cs="Times New Roman"/>
          <w:szCs w:val="23"/>
        </w:rPr>
        <w:t>[…] Quand on appartient à la clientèle d’un grand personnage, on en épouse les convictions politiques. C’est ainsi que s’organisent peu à peu, au service des chefs de parti, de véritables bureaux de presse où se coudoient souvent des auteurs réputés. […] Bien plus considérable est le bureau de presse organisé par Gondi pendant le siège de Paris. En 1649 et en 1650, en effet, le coadjuteur […] se contente de commander ses pamphlets aux libellistes à ses gages, […]</w:t>
      </w:r>
      <w:r w:rsidRPr="00974EAB">
        <w:rPr>
          <w:rFonts w:cs="Times New Roman"/>
          <w:sz w:val="23"/>
          <w:szCs w:val="23"/>
        </w:rPr>
        <w:t xml:space="preserve">. </w:t>
      </w:r>
    </w:p>
    <w:p w14:paraId="03AF897A" w14:textId="77777777" w:rsidR="00974EAB" w:rsidRPr="00D3530C" w:rsidRDefault="00337689" w:rsidP="00D3530C">
      <w:pPr>
        <w:jc w:val="right"/>
        <w:rPr>
          <w:rFonts w:cs="Times New Roman"/>
        </w:rPr>
      </w:pPr>
      <w:r w:rsidRPr="00DE77E4">
        <w:rPr>
          <w:rFonts w:cs="Times New Roman"/>
          <w:sz w:val="20"/>
        </w:rPr>
        <w:t xml:space="preserve">Michel </w:t>
      </w:r>
      <w:r w:rsidRPr="00DE77E4">
        <w:rPr>
          <w:rFonts w:cs="Times New Roman"/>
          <w:smallCaps/>
          <w:sz w:val="20"/>
        </w:rPr>
        <w:t>Pernot</w:t>
      </w:r>
      <w:r w:rsidRPr="00DE77E4">
        <w:rPr>
          <w:rFonts w:cs="Times New Roman"/>
          <w:sz w:val="20"/>
        </w:rPr>
        <w:t xml:space="preserve">, </w:t>
      </w:r>
      <w:r w:rsidRPr="00DE77E4">
        <w:rPr>
          <w:rFonts w:cs="Times New Roman"/>
          <w:i/>
          <w:sz w:val="20"/>
        </w:rPr>
        <w:t>La Fronde</w:t>
      </w:r>
      <w:r w:rsidRPr="00DE77E4">
        <w:rPr>
          <w:rFonts w:cs="Times New Roman"/>
          <w:sz w:val="20"/>
        </w:rPr>
        <w:t>, Paris, Tallandier, 2019 [1</w:t>
      </w:r>
      <w:r w:rsidRPr="00DE77E4">
        <w:rPr>
          <w:rFonts w:cs="Times New Roman"/>
          <w:sz w:val="20"/>
          <w:vertAlign w:val="superscript"/>
        </w:rPr>
        <w:t>ère</w:t>
      </w:r>
      <w:r w:rsidRPr="00DE77E4">
        <w:rPr>
          <w:rFonts w:cs="Times New Roman"/>
          <w:sz w:val="20"/>
        </w:rPr>
        <w:t xml:space="preserve"> édition 2012], p. 203-</w:t>
      </w:r>
      <w:r w:rsidR="000009C2" w:rsidRPr="00DE77E4">
        <w:rPr>
          <w:rFonts w:cs="Times New Roman"/>
          <w:sz w:val="20"/>
        </w:rPr>
        <w:t>206</w:t>
      </w:r>
      <w:r w:rsidRPr="00337689">
        <w:rPr>
          <w:rFonts w:cs="Times New Roman"/>
        </w:rPr>
        <w:t xml:space="preserve">. </w:t>
      </w:r>
    </w:p>
    <w:p w14:paraId="0039C5D2" w14:textId="77777777" w:rsidR="004F1EE4" w:rsidRDefault="009C231E" w:rsidP="00D3530C">
      <w:pPr>
        <w:pStyle w:val="Sansinterligne"/>
        <w:rPr>
          <w:rFonts w:cs="Times New Roman"/>
          <w:sz w:val="23"/>
          <w:szCs w:val="23"/>
        </w:rPr>
      </w:pPr>
      <w:r w:rsidRPr="00607133">
        <w:rPr>
          <w:rFonts w:cs="Times New Roman"/>
          <w:sz w:val="23"/>
          <w:szCs w:val="23"/>
        </w:rPr>
        <w:t xml:space="preserve">2. </w:t>
      </w:r>
      <w:r w:rsidR="00602A26">
        <w:rPr>
          <w:rFonts w:cs="Times New Roman"/>
          <w:sz w:val="23"/>
          <w:szCs w:val="23"/>
        </w:rPr>
        <w:t xml:space="preserve">Un auteur de mazarinades : </w:t>
      </w:r>
      <w:r w:rsidRPr="00607133">
        <w:rPr>
          <w:rFonts w:cs="Times New Roman"/>
          <w:sz w:val="23"/>
          <w:szCs w:val="23"/>
        </w:rPr>
        <w:t xml:space="preserve">Cyrano de Bergerac </w:t>
      </w:r>
    </w:p>
    <w:p w14:paraId="4366BB1E" w14:textId="77777777" w:rsidR="00992F1C" w:rsidRDefault="005B31E5" w:rsidP="004F1EE4">
      <w:r w:rsidRPr="005B31E5">
        <w:t>Il faut débarrasser Cyrano des affûtiaux de son mythe ; il n'était point gascon, mais natif, en 1619, de la région de Chevreuse, où se trouvait la terre de Bergerac. Il fut un temps vaillant soldat et glorieusement blessé au siège d'Arras. Bretteur ? Jamais et, s'il dégaina souvent, ce ne fut point pour son compte. Il écrivit peu de vers galants et son nez avait la forme exactement opposée à celle dont l'affuble Rostand. Il fut pauvre, en effet, et ne mena que peu de temps joyeuse vie dans les tripots de la capitale. Il vécut sobre et chaste, d'eau pure et de légumes, à l'exemple de son maître Gassendi (pour raison de santé aussi), jusqu'à l'âge de trente-six ans où il mourut des suites d'un accident, peut-être provoqué, sans avoir pu parachever une œuvre où il avait pourtant déjà donné toute sa mesure.</w:t>
      </w:r>
    </w:p>
    <w:p w14:paraId="57253FB8" w14:textId="77777777" w:rsidR="005B31E5" w:rsidRPr="00D3530C" w:rsidRDefault="005B31E5" w:rsidP="00D3530C">
      <w:pPr>
        <w:spacing w:after="240"/>
        <w:jc w:val="right"/>
        <w:rPr>
          <w:sz w:val="20"/>
        </w:rPr>
      </w:pPr>
      <w:r w:rsidRPr="00D3530C">
        <w:rPr>
          <w:sz w:val="20"/>
        </w:rPr>
        <w:t xml:space="preserve">Jeannine </w:t>
      </w:r>
      <w:proofErr w:type="spellStart"/>
      <w:r w:rsidRPr="00D3530C">
        <w:rPr>
          <w:smallCaps/>
          <w:sz w:val="20"/>
        </w:rPr>
        <w:t>Etiemble</w:t>
      </w:r>
      <w:proofErr w:type="spellEnd"/>
      <w:r w:rsidRPr="00D3530C">
        <w:rPr>
          <w:sz w:val="20"/>
        </w:rPr>
        <w:t xml:space="preserve">, </w:t>
      </w:r>
      <w:r w:rsidR="00D3530C" w:rsidRPr="00D3530C">
        <w:rPr>
          <w:sz w:val="20"/>
        </w:rPr>
        <w:t xml:space="preserve">« Cyrano de Bergerac, Savinien (1619-1655) », </w:t>
      </w:r>
      <w:proofErr w:type="spellStart"/>
      <w:r w:rsidR="00D3530C" w:rsidRPr="00D3530C">
        <w:rPr>
          <w:i/>
          <w:sz w:val="20"/>
        </w:rPr>
        <w:t>Encyclopedia</w:t>
      </w:r>
      <w:proofErr w:type="spellEnd"/>
      <w:r w:rsidR="00D3530C" w:rsidRPr="00D3530C">
        <w:rPr>
          <w:i/>
          <w:sz w:val="20"/>
        </w:rPr>
        <w:t xml:space="preserve"> </w:t>
      </w:r>
      <w:proofErr w:type="spellStart"/>
      <w:r w:rsidR="00D3530C" w:rsidRPr="00D3530C">
        <w:rPr>
          <w:i/>
          <w:sz w:val="20"/>
        </w:rPr>
        <w:t>Universalis</w:t>
      </w:r>
      <w:proofErr w:type="spellEnd"/>
      <w:r w:rsidR="00D3530C" w:rsidRPr="00D3530C">
        <w:rPr>
          <w:sz w:val="20"/>
        </w:rPr>
        <w:t xml:space="preserve">. </w:t>
      </w:r>
    </w:p>
    <w:p w14:paraId="4B0A6B8E" w14:textId="77777777" w:rsidR="0091756F" w:rsidRPr="00554E09" w:rsidRDefault="006C63CC" w:rsidP="004F1EE4">
      <w:pPr>
        <w:rPr>
          <w:rFonts w:cs="Times New Roman"/>
          <w:szCs w:val="22"/>
        </w:rPr>
      </w:pPr>
      <w:r w:rsidRPr="00554E09">
        <w:rPr>
          <w:szCs w:val="22"/>
        </w:rPr>
        <w:lastRenderedPageBreak/>
        <w:t xml:space="preserve">En janvier 1649, </w:t>
      </w:r>
      <w:r w:rsidRPr="00554E09">
        <w:rPr>
          <w:rFonts w:cs="Times New Roman"/>
          <w:szCs w:val="22"/>
        </w:rPr>
        <w:t xml:space="preserve">[Cyrano de Bergerac] est à Paris, </w:t>
      </w:r>
      <w:r w:rsidR="008D62B2" w:rsidRPr="00554E09">
        <w:rPr>
          <w:rFonts w:cs="Times New Roman"/>
          <w:szCs w:val="22"/>
        </w:rPr>
        <w:t xml:space="preserve">puisqu’il passe un acte devant notaire avec son frère Abel. […] Nous n’avons pas, en revanche, à nous demander s’il sera </w:t>
      </w:r>
      <w:proofErr w:type="spellStart"/>
      <w:r w:rsidR="008D62B2" w:rsidRPr="00554E09">
        <w:rPr>
          <w:rFonts w:cs="Times New Roman"/>
          <w:szCs w:val="22"/>
        </w:rPr>
        <w:t>antimazarin</w:t>
      </w:r>
      <w:proofErr w:type="spellEnd"/>
      <w:r w:rsidR="008D62B2" w:rsidRPr="00554E09">
        <w:rPr>
          <w:rFonts w:cs="Times New Roman"/>
          <w:szCs w:val="22"/>
        </w:rPr>
        <w:t>. Il devrait l’être spontanément. Par sa famille et le réseau des alliances familiales, il appartient au cercle élargi des parlementaires et prendrait naturellement leur parti contre le favori de la reine régente. […] Lié depuis 1640 au groupe des officiers qui entourent le prince de Conti, il n’a pas le choix du parti dans le conflit qui oppose la reine régente et Mazarin à la duchesse de Longueville et Conti, l’honneur, la parole donnée, l’allégeance et l’amitié lui font obligation de rallier la troupe de ceux qui combattent le ministre abhorré. […] La politique de « réduction » des rentes pratiquée par le pouvoir royal, dont Mazarin doit assumer la responsabilité, a entamé la fortune des Cyrano, et donc l’héritage à venir : autre raison d’insatisfaction. […]</w:t>
      </w:r>
    </w:p>
    <w:p w14:paraId="69CD0E22" w14:textId="77777777" w:rsidR="00974EAB" w:rsidRPr="001104FC" w:rsidRDefault="008D62B2" w:rsidP="001104FC">
      <w:pPr>
        <w:rPr>
          <w:rFonts w:cs="Times New Roman"/>
          <w:szCs w:val="22"/>
        </w:rPr>
      </w:pPr>
      <w:r w:rsidRPr="00554E09">
        <w:rPr>
          <w:rFonts w:cs="Times New Roman"/>
          <w:szCs w:val="22"/>
        </w:rPr>
        <w:t xml:space="preserve">Les sept libelles de Cyrano qui s’en prennent à Mazarin sont très représentatifs du répertoire des reproches au nom desquels on réclame le départ et la condamnation du premier des ministres. Cyrano suit le flot et vise moins à l’originalité qu’à la vigueur. C’est ce qui a pu faire douter de l’attribution des textes, </w:t>
      </w:r>
      <w:r w:rsidR="00554E09">
        <w:rPr>
          <w:rFonts w:ascii="Times New Roman" w:hAnsi="Times New Roman" w:cs="Times New Roman"/>
          <w:szCs w:val="22"/>
        </w:rPr>
        <w:t>[…]</w:t>
      </w:r>
      <w:r w:rsidRPr="00554E09">
        <w:rPr>
          <w:rFonts w:cs="Times New Roman"/>
          <w:szCs w:val="22"/>
        </w:rPr>
        <w:t>. Ces mazarinades ont été écrites dans la fièvre d’une intense activité de plume de cinq ou six semaines, entre la deuxième semaine de février et la mi-mars 1649</w:t>
      </w:r>
      <w:r w:rsidR="00554E09">
        <w:rPr>
          <w:rFonts w:cs="Times New Roman"/>
          <w:szCs w:val="22"/>
        </w:rPr>
        <w:t>. »</w:t>
      </w:r>
    </w:p>
    <w:p w14:paraId="7AA42F99" w14:textId="77777777" w:rsidR="000F7A4D" w:rsidRDefault="00DE77E4" w:rsidP="001104FC">
      <w:pPr>
        <w:pStyle w:val="Notes"/>
        <w:suppressLineNumbers/>
        <w:spacing w:before="120"/>
        <w:jc w:val="right"/>
        <w:rPr>
          <w:rFonts w:cs="Times New Roman"/>
        </w:rPr>
      </w:pPr>
      <w:r w:rsidRPr="008734B9">
        <w:t>Jacques</w:t>
      </w:r>
      <w:r w:rsidRPr="008734B9">
        <w:rPr>
          <w:rFonts w:cs="Times New Roman (Corps CS)"/>
          <w:smallCaps/>
        </w:rPr>
        <w:t xml:space="preserve"> Prévot</w:t>
      </w:r>
      <w:r w:rsidRPr="008734B9">
        <w:t xml:space="preserve">, </w:t>
      </w:r>
      <w:r w:rsidRPr="008734B9">
        <w:rPr>
          <w:i/>
        </w:rPr>
        <w:t>Cyrano de Bergerac : l'écrivain de la crise</w:t>
      </w:r>
      <w:r w:rsidRPr="008734B9">
        <w:t xml:space="preserve">, </w:t>
      </w:r>
      <w:r w:rsidR="001104FC">
        <w:br/>
      </w:r>
      <w:r w:rsidRPr="008734B9">
        <w:t>Paris, Ellipses, 2011, p. 1</w:t>
      </w:r>
      <w:r w:rsidR="001104FC">
        <w:t>42-151</w:t>
      </w:r>
      <w:r w:rsidR="009C231E" w:rsidRPr="00607133">
        <w:rPr>
          <w:rFonts w:cs="Times New Roman"/>
        </w:rPr>
        <w:t xml:space="preserve">. </w:t>
      </w:r>
    </w:p>
    <w:p w14:paraId="07C30D73" w14:textId="77777777" w:rsidR="00974EAB" w:rsidRDefault="00974EAB" w:rsidP="007431BE">
      <w:pPr>
        <w:spacing w:before="0" w:after="0"/>
        <w:ind w:firstLine="0"/>
      </w:pPr>
    </w:p>
    <w:p w14:paraId="60E7BAD5" w14:textId="77777777" w:rsidR="00E56788" w:rsidRPr="000F2C67" w:rsidRDefault="000F2C67" w:rsidP="007431BE">
      <w:pPr>
        <w:pStyle w:val="Sansinterligne"/>
        <w:spacing w:before="120"/>
        <w:rPr>
          <w:rFonts w:cs="Times New Roman"/>
          <w:sz w:val="23"/>
          <w:szCs w:val="23"/>
        </w:rPr>
      </w:pPr>
      <w:r>
        <w:rPr>
          <w:rFonts w:cs="Times New Roman"/>
          <w:sz w:val="23"/>
          <w:szCs w:val="23"/>
        </w:rPr>
        <w:t>Comprendre son travail et s’améliorer en fonction des attentes : l’introduction</w:t>
      </w:r>
    </w:p>
    <w:tbl>
      <w:tblPr>
        <w:tblStyle w:val="Grilledutableau1"/>
        <w:tblW w:w="9209" w:type="dxa"/>
        <w:tblLayout w:type="fixed"/>
        <w:tblLook w:val="04A0" w:firstRow="1" w:lastRow="0" w:firstColumn="1" w:lastColumn="0" w:noHBand="0" w:noVBand="1"/>
      </w:tblPr>
      <w:tblGrid>
        <w:gridCol w:w="8784"/>
        <w:gridCol w:w="425"/>
      </w:tblGrid>
      <w:tr w:rsidR="00E56788" w:rsidRPr="008734B9" w14:paraId="21A6FF28" w14:textId="77777777" w:rsidTr="009060E7">
        <w:tc>
          <w:tcPr>
            <w:tcW w:w="8784" w:type="dxa"/>
          </w:tcPr>
          <w:p w14:paraId="34F77737" w14:textId="77777777" w:rsidR="00E56788" w:rsidRPr="008734B9" w:rsidRDefault="00827879" w:rsidP="00160E2C">
            <w:pPr>
              <w:pStyle w:val="Notes"/>
              <w:spacing w:before="80" w:after="80"/>
              <w:jc w:val="left"/>
              <w:rPr>
                <w:b/>
                <w:sz w:val="22"/>
                <w:szCs w:val="22"/>
              </w:rPr>
            </w:pPr>
            <w:r>
              <w:rPr>
                <w:b/>
                <w:sz w:val="22"/>
                <w:szCs w:val="22"/>
              </w:rPr>
              <w:t xml:space="preserve">La présentation du document est détaillée et permet d’amener vers la problématique  </w:t>
            </w:r>
          </w:p>
        </w:tc>
        <w:tc>
          <w:tcPr>
            <w:tcW w:w="425" w:type="dxa"/>
            <w:shd w:val="clear" w:color="auto" w:fill="BFBFBF" w:themeFill="background1" w:themeFillShade="BF"/>
          </w:tcPr>
          <w:p w14:paraId="14A539CC" w14:textId="77777777" w:rsidR="00E56788" w:rsidRPr="008734B9" w:rsidRDefault="00E56788" w:rsidP="00160E2C">
            <w:pPr>
              <w:pStyle w:val="Notes"/>
              <w:spacing w:before="80" w:after="80"/>
              <w:jc w:val="left"/>
              <w:rPr>
                <w:b/>
                <w:sz w:val="22"/>
                <w:szCs w:val="22"/>
              </w:rPr>
            </w:pPr>
          </w:p>
        </w:tc>
      </w:tr>
      <w:tr w:rsidR="00A91BD2" w:rsidRPr="008734B9" w14:paraId="4D066CE6" w14:textId="77777777" w:rsidTr="009060E7">
        <w:tc>
          <w:tcPr>
            <w:tcW w:w="8784" w:type="dxa"/>
          </w:tcPr>
          <w:p w14:paraId="1E977647" w14:textId="77777777" w:rsidR="00A91BD2" w:rsidRPr="008734B9" w:rsidRDefault="00A91BD2" w:rsidP="009060E7">
            <w:pPr>
              <w:pStyle w:val="Notes"/>
              <w:spacing w:before="40" w:after="40"/>
              <w:ind w:left="171"/>
              <w:jc w:val="left"/>
              <w:rPr>
                <w:i/>
                <w:sz w:val="22"/>
                <w:szCs w:val="22"/>
              </w:rPr>
            </w:pPr>
            <w:r>
              <w:rPr>
                <w:i/>
                <w:sz w:val="22"/>
                <w:szCs w:val="22"/>
              </w:rPr>
              <w:t>Ni l’auteur, ni la nature, ni le contexte de production de la source ne sont analysés</w:t>
            </w:r>
            <w:r w:rsidR="000F2C67">
              <w:rPr>
                <w:i/>
                <w:sz w:val="22"/>
                <w:szCs w:val="22"/>
              </w:rPr>
              <w:t xml:space="preserve">. </w:t>
            </w:r>
            <w:r w:rsidR="000F2C67">
              <w:rPr>
                <w:i/>
                <w:sz w:val="22"/>
                <w:szCs w:val="22"/>
              </w:rPr>
              <w:br/>
              <w:t xml:space="preserve">L’introduction consiste en une restitution de connaissances vagues sur la période, sans rapport avec la source. </w:t>
            </w:r>
            <w:r>
              <w:rPr>
                <w:i/>
                <w:sz w:val="22"/>
                <w:szCs w:val="22"/>
              </w:rPr>
              <w:t xml:space="preserve"> </w:t>
            </w:r>
          </w:p>
        </w:tc>
        <w:tc>
          <w:tcPr>
            <w:tcW w:w="425" w:type="dxa"/>
            <w:vAlign w:val="center"/>
          </w:tcPr>
          <w:p w14:paraId="33A145FB" w14:textId="77777777" w:rsidR="00A91BD2" w:rsidRPr="008734B9" w:rsidRDefault="00A91BD2" w:rsidP="009060E7">
            <w:pPr>
              <w:pStyle w:val="Notes"/>
              <w:spacing w:before="40" w:after="40"/>
              <w:ind w:left="-10"/>
              <w:jc w:val="center"/>
              <w:rPr>
                <w:sz w:val="22"/>
                <w:szCs w:val="22"/>
              </w:rPr>
            </w:pPr>
            <w:r>
              <w:rPr>
                <w:sz w:val="22"/>
                <w:szCs w:val="22"/>
              </w:rPr>
              <w:t>0</w:t>
            </w:r>
          </w:p>
        </w:tc>
      </w:tr>
      <w:tr w:rsidR="00E56788" w:rsidRPr="008734B9" w14:paraId="2C9B2A51" w14:textId="77777777" w:rsidTr="009060E7">
        <w:tc>
          <w:tcPr>
            <w:tcW w:w="8784" w:type="dxa"/>
          </w:tcPr>
          <w:p w14:paraId="0A8C8EAC"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L’auteur, la nature et le contexte du document ne sont pas tous analysés, ou seulement brièvement, </w:t>
            </w:r>
            <w:r w:rsidRPr="008734B9">
              <w:rPr>
                <w:i/>
                <w:sz w:val="22"/>
                <w:szCs w:val="22"/>
              </w:rPr>
              <w:br/>
              <w:t xml:space="preserve">avec des incohérences historiques importantes. </w:t>
            </w:r>
          </w:p>
        </w:tc>
        <w:tc>
          <w:tcPr>
            <w:tcW w:w="425" w:type="dxa"/>
            <w:vAlign w:val="center"/>
          </w:tcPr>
          <w:p w14:paraId="4D4A0B2A" w14:textId="77777777" w:rsidR="00E56788" w:rsidRPr="008734B9" w:rsidRDefault="00E56788" w:rsidP="009060E7">
            <w:pPr>
              <w:pStyle w:val="Notes"/>
              <w:spacing w:before="40" w:after="40"/>
              <w:ind w:left="-10"/>
              <w:jc w:val="center"/>
              <w:rPr>
                <w:sz w:val="22"/>
                <w:szCs w:val="22"/>
              </w:rPr>
            </w:pPr>
            <w:r w:rsidRPr="008734B9">
              <w:rPr>
                <w:sz w:val="22"/>
                <w:szCs w:val="22"/>
              </w:rPr>
              <w:t>1</w:t>
            </w:r>
          </w:p>
        </w:tc>
      </w:tr>
      <w:tr w:rsidR="00E56788" w:rsidRPr="008734B9" w14:paraId="67C178EA" w14:textId="77777777" w:rsidTr="009060E7">
        <w:tc>
          <w:tcPr>
            <w:tcW w:w="8784" w:type="dxa"/>
          </w:tcPr>
          <w:p w14:paraId="57B33A05"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L’auteur est présenté judicieusement, en sélectionnant ce qui permet de mieux comprendre le document. </w:t>
            </w:r>
            <w:r w:rsidRPr="008734B9">
              <w:rPr>
                <w:i/>
                <w:sz w:val="22"/>
                <w:szCs w:val="22"/>
              </w:rPr>
              <w:br/>
              <w:t xml:space="preserve">L’analyse de la nature du document permet d’amener d’autres éléments (destinataire(s), objectif(s)). </w:t>
            </w:r>
            <w:r w:rsidRPr="008734B9">
              <w:rPr>
                <w:i/>
                <w:sz w:val="22"/>
                <w:szCs w:val="22"/>
              </w:rPr>
              <w:br/>
              <w:t xml:space="preserve">Le contexte est ciblé pour correspondre au propos. </w:t>
            </w:r>
          </w:p>
        </w:tc>
        <w:tc>
          <w:tcPr>
            <w:tcW w:w="425" w:type="dxa"/>
            <w:vAlign w:val="center"/>
          </w:tcPr>
          <w:p w14:paraId="11C5AE6E" w14:textId="77777777" w:rsidR="00E56788" w:rsidRPr="008734B9" w:rsidRDefault="00E56788" w:rsidP="009060E7">
            <w:pPr>
              <w:pStyle w:val="Notes"/>
              <w:spacing w:before="40" w:after="40"/>
              <w:ind w:left="-10"/>
              <w:jc w:val="center"/>
              <w:rPr>
                <w:sz w:val="22"/>
                <w:szCs w:val="22"/>
              </w:rPr>
            </w:pPr>
            <w:r w:rsidRPr="008734B9">
              <w:rPr>
                <w:sz w:val="22"/>
                <w:szCs w:val="22"/>
              </w:rPr>
              <w:t>2</w:t>
            </w:r>
          </w:p>
        </w:tc>
      </w:tr>
      <w:tr w:rsidR="00E56788" w:rsidRPr="008734B9" w14:paraId="29052B82" w14:textId="77777777" w:rsidTr="009060E7">
        <w:tc>
          <w:tcPr>
            <w:tcW w:w="8784" w:type="dxa"/>
          </w:tcPr>
          <w:p w14:paraId="0448A9BD"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Précédent + l’analyse de la nature du document tient autant compte des aspects matériels </w:t>
            </w:r>
            <w:r w:rsidRPr="008734B9">
              <w:rPr>
                <w:i/>
                <w:sz w:val="22"/>
                <w:szCs w:val="22"/>
              </w:rPr>
              <w:br/>
              <w:t xml:space="preserve">que des éléments annexes (destinataires, objectifs), donnant des indices sur la réception potentielle du document. </w:t>
            </w:r>
            <w:r w:rsidRPr="008734B9">
              <w:rPr>
                <w:i/>
                <w:sz w:val="22"/>
                <w:szCs w:val="22"/>
              </w:rPr>
              <w:br/>
              <w:t>Le contexte va du plus général (en quelques mots) au plus particulier (plus développé).</w:t>
            </w:r>
          </w:p>
        </w:tc>
        <w:tc>
          <w:tcPr>
            <w:tcW w:w="425" w:type="dxa"/>
            <w:vAlign w:val="center"/>
          </w:tcPr>
          <w:p w14:paraId="72A46D62" w14:textId="77777777" w:rsidR="00E56788" w:rsidRPr="008734B9" w:rsidRDefault="00E56788" w:rsidP="009060E7">
            <w:pPr>
              <w:pStyle w:val="Notes"/>
              <w:spacing w:before="40" w:after="40"/>
              <w:ind w:left="-10"/>
              <w:jc w:val="center"/>
              <w:rPr>
                <w:sz w:val="22"/>
                <w:szCs w:val="22"/>
              </w:rPr>
            </w:pPr>
            <w:r w:rsidRPr="008734B9">
              <w:rPr>
                <w:sz w:val="22"/>
                <w:szCs w:val="22"/>
              </w:rPr>
              <w:t>3</w:t>
            </w:r>
          </w:p>
        </w:tc>
      </w:tr>
      <w:tr w:rsidR="00E56788" w:rsidRPr="008734B9" w14:paraId="64641857" w14:textId="77777777" w:rsidTr="009060E7">
        <w:tc>
          <w:tcPr>
            <w:tcW w:w="8784" w:type="dxa"/>
          </w:tcPr>
          <w:p w14:paraId="4662EB13"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Précédent + le tout amène finement vers la problématique choisie, qui semble dès lors logique. </w:t>
            </w:r>
          </w:p>
        </w:tc>
        <w:tc>
          <w:tcPr>
            <w:tcW w:w="425" w:type="dxa"/>
            <w:vAlign w:val="center"/>
          </w:tcPr>
          <w:p w14:paraId="5BE1115E" w14:textId="77777777" w:rsidR="00E56788" w:rsidRPr="008734B9" w:rsidRDefault="00E56788" w:rsidP="009060E7">
            <w:pPr>
              <w:pStyle w:val="Notes"/>
              <w:spacing w:before="40" w:after="40"/>
              <w:ind w:left="-10"/>
              <w:jc w:val="center"/>
              <w:rPr>
                <w:sz w:val="22"/>
                <w:szCs w:val="22"/>
              </w:rPr>
            </w:pPr>
            <w:r w:rsidRPr="008734B9">
              <w:rPr>
                <w:sz w:val="22"/>
                <w:szCs w:val="22"/>
              </w:rPr>
              <w:t>4</w:t>
            </w:r>
          </w:p>
        </w:tc>
      </w:tr>
      <w:tr w:rsidR="00E56788" w:rsidRPr="008734B9" w14:paraId="76D3080B" w14:textId="77777777" w:rsidTr="009060E7">
        <w:tc>
          <w:tcPr>
            <w:tcW w:w="8784" w:type="dxa"/>
          </w:tcPr>
          <w:p w14:paraId="6F06AF99" w14:textId="77777777" w:rsidR="00E56788" w:rsidRPr="008734B9" w:rsidRDefault="00E56788" w:rsidP="00160E2C">
            <w:pPr>
              <w:pStyle w:val="Notes"/>
              <w:spacing w:before="80" w:after="80"/>
              <w:jc w:val="left"/>
              <w:rPr>
                <w:b/>
                <w:sz w:val="22"/>
                <w:szCs w:val="22"/>
              </w:rPr>
            </w:pPr>
            <w:r w:rsidRPr="008734B9">
              <w:rPr>
                <w:b/>
                <w:sz w:val="22"/>
                <w:szCs w:val="22"/>
              </w:rPr>
              <w:t>La problématique est cohérente et écrite simplement</w:t>
            </w:r>
          </w:p>
        </w:tc>
        <w:tc>
          <w:tcPr>
            <w:tcW w:w="425" w:type="dxa"/>
            <w:shd w:val="clear" w:color="auto" w:fill="BFBFBF" w:themeFill="background1" w:themeFillShade="BF"/>
            <w:vAlign w:val="center"/>
          </w:tcPr>
          <w:p w14:paraId="6E8B734B" w14:textId="77777777" w:rsidR="00E56788" w:rsidRPr="008734B9" w:rsidRDefault="00E56788" w:rsidP="00160E2C">
            <w:pPr>
              <w:pStyle w:val="Notes"/>
              <w:spacing w:before="80" w:after="80"/>
              <w:ind w:left="-10"/>
              <w:jc w:val="center"/>
              <w:rPr>
                <w:b/>
                <w:sz w:val="22"/>
                <w:szCs w:val="22"/>
              </w:rPr>
            </w:pPr>
          </w:p>
        </w:tc>
      </w:tr>
      <w:tr w:rsidR="00A91BD2" w:rsidRPr="008734B9" w14:paraId="1F277D58" w14:textId="77777777" w:rsidTr="009060E7">
        <w:tc>
          <w:tcPr>
            <w:tcW w:w="8784" w:type="dxa"/>
          </w:tcPr>
          <w:p w14:paraId="18E87B52" w14:textId="77777777" w:rsidR="00A91BD2" w:rsidRPr="008734B9" w:rsidRDefault="000F2C67" w:rsidP="009060E7">
            <w:pPr>
              <w:pStyle w:val="Notes"/>
              <w:spacing w:before="40" w:after="40"/>
              <w:ind w:left="171"/>
              <w:jc w:val="left"/>
              <w:rPr>
                <w:i/>
                <w:sz w:val="22"/>
                <w:szCs w:val="22"/>
              </w:rPr>
            </w:pPr>
            <w:r>
              <w:rPr>
                <w:i/>
                <w:sz w:val="22"/>
                <w:szCs w:val="22"/>
              </w:rPr>
              <w:t xml:space="preserve">La problématique est amenée de manière maladroite (du type « nous allons nous demander… ») ; </w:t>
            </w:r>
            <w:r>
              <w:rPr>
                <w:i/>
                <w:sz w:val="22"/>
                <w:szCs w:val="22"/>
              </w:rPr>
              <w:br/>
              <w:t xml:space="preserve">elle consiste ou en une formulation du sujet de la source sous forme interrogative, ou en un questionnement maladroit sur l’apport événementiel de la source (du type « qu’est-ce que ce texte nous dit de tel événement ? »). </w:t>
            </w:r>
          </w:p>
        </w:tc>
        <w:tc>
          <w:tcPr>
            <w:tcW w:w="425" w:type="dxa"/>
            <w:vAlign w:val="center"/>
          </w:tcPr>
          <w:p w14:paraId="29CFACDE" w14:textId="77777777" w:rsidR="00A91BD2" w:rsidRPr="008734B9" w:rsidRDefault="00A91BD2" w:rsidP="009060E7">
            <w:pPr>
              <w:pStyle w:val="Notes"/>
              <w:spacing w:before="40" w:after="40"/>
              <w:ind w:left="-10"/>
              <w:jc w:val="center"/>
              <w:rPr>
                <w:sz w:val="22"/>
                <w:szCs w:val="22"/>
              </w:rPr>
            </w:pPr>
            <w:r>
              <w:rPr>
                <w:sz w:val="22"/>
                <w:szCs w:val="22"/>
              </w:rPr>
              <w:t>0</w:t>
            </w:r>
          </w:p>
        </w:tc>
      </w:tr>
      <w:tr w:rsidR="00E56788" w:rsidRPr="008734B9" w14:paraId="10B6092B" w14:textId="77777777" w:rsidTr="009060E7">
        <w:tc>
          <w:tcPr>
            <w:tcW w:w="8784" w:type="dxa"/>
          </w:tcPr>
          <w:p w14:paraId="49005164"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Trop complexe ou hors-sujet, la problématique n’apporte pas de questionnement particulier au document. </w:t>
            </w:r>
          </w:p>
        </w:tc>
        <w:tc>
          <w:tcPr>
            <w:tcW w:w="425" w:type="dxa"/>
            <w:vAlign w:val="center"/>
          </w:tcPr>
          <w:p w14:paraId="2C3F3A8D" w14:textId="77777777" w:rsidR="00E56788" w:rsidRPr="008734B9" w:rsidRDefault="00E56788" w:rsidP="009060E7">
            <w:pPr>
              <w:pStyle w:val="Notes"/>
              <w:spacing w:before="40" w:after="40"/>
              <w:ind w:left="-10"/>
              <w:jc w:val="center"/>
              <w:rPr>
                <w:sz w:val="22"/>
                <w:szCs w:val="22"/>
              </w:rPr>
            </w:pPr>
            <w:r w:rsidRPr="008734B9">
              <w:rPr>
                <w:sz w:val="22"/>
                <w:szCs w:val="22"/>
              </w:rPr>
              <w:t>1</w:t>
            </w:r>
          </w:p>
        </w:tc>
      </w:tr>
      <w:tr w:rsidR="00E56788" w:rsidRPr="008734B9" w14:paraId="3C9FB25F" w14:textId="77777777" w:rsidTr="009060E7">
        <w:tc>
          <w:tcPr>
            <w:tcW w:w="8784" w:type="dxa"/>
          </w:tcPr>
          <w:p w14:paraId="328A7736"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La problématique, rédigée simplement, donne au commentaire une clé de lecture découlant logiquement </w:t>
            </w:r>
            <w:r w:rsidRPr="008734B9">
              <w:rPr>
                <w:i/>
                <w:sz w:val="22"/>
                <w:szCs w:val="22"/>
              </w:rPr>
              <w:br/>
              <w:t xml:space="preserve">du reste de l’introduction, correspondant au titre du document et assez claire pour tenir compte de son ensemble. </w:t>
            </w:r>
          </w:p>
        </w:tc>
        <w:tc>
          <w:tcPr>
            <w:tcW w:w="425" w:type="dxa"/>
            <w:vAlign w:val="center"/>
          </w:tcPr>
          <w:p w14:paraId="050C1C20" w14:textId="77777777" w:rsidR="00E56788" w:rsidRPr="008734B9" w:rsidRDefault="00E56788" w:rsidP="009060E7">
            <w:pPr>
              <w:pStyle w:val="Notes"/>
              <w:spacing w:before="40" w:after="40"/>
              <w:ind w:left="-10"/>
              <w:jc w:val="center"/>
              <w:rPr>
                <w:sz w:val="22"/>
                <w:szCs w:val="22"/>
              </w:rPr>
            </w:pPr>
            <w:r w:rsidRPr="008734B9">
              <w:rPr>
                <w:sz w:val="22"/>
                <w:szCs w:val="22"/>
              </w:rPr>
              <w:t>2</w:t>
            </w:r>
          </w:p>
        </w:tc>
      </w:tr>
      <w:tr w:rsidR="00E56788" w:rsidRPr="008734B9" w14:paraId="415046C7" w14:textId="77777777" w:rsidTr="009060E7">
        <w:tc>
          <w:tcPr>
            <w:tcW w:w="8784" w:type="dxa"/>
          </w:tcPr>
          <w:p w14:paraId="558AA992" w14:textId="77777777" w:rsidR="00E56788" w:rsidRPr="008734B9" w:rsidRDefault="00E56788" w:rsidP="009060E7">
            <w:pPr>
              <w:pStyle w:val="Notes"/>
              <w:spacing w:before="40" w:after="40"/>
              <w:ind w:left="171"/>
              <w:jc w:val="left"/>
              <w:rPr>
                <w:i/>
                <w:sz w:val="22"/>
                <w:szCs w:val="22"/>
              </w:rPr>
            </w:pPr>
            <w:r w:rsidRPr="008734B9">
              <w:rPr>
                <w:i/>
                <w:sz w:val="22"/>
                <w:szCs w:val="22"/>
              </w:rPr>
              <w:t xml:space="preserve">Précédent + la problématique donne à voir une portée critique suivie dans la suite du commentaire. </w:t>
            </w:r>
          </w:p>
        </w:tc>
        <w:tc>
          <w:tcPr>
            <w:tcW w:w="425" w:type="dxa"/>
            <w:vAlign w:val="center"/>
          </w:tcPr>
          <w:p w14:paraId="439835AF" w14:textId="77777777" w:rsidR="00E56788" w:rsidRPr="008734B9" w:rsidRDefault="00E56788" w:rsidP="009060E7">
            <w:pPr>
              <w:pStyle w:val="Notes"/>
              <w:spacing w:before="40" w:after="40"/>
              <w:ind w:left="-10"/>
              <w:jc w:val="center"/>
              <w:rPr>
                <w:sz w:val="22"/>
                <w:szCs w:val="22"/>
              </w:rPr>
            </w:pPr>
            <w:r w:rsidRPr="008734B9">
              <w:rPr>
                <w:sz w:val="22"/>
                <w:szCs w:val="22"/>
              </w:rPr>
              <w:t>3</w:t>
            </w:r>
          </w:p>
        </w:tc>
      </w:tr>
      <w:tr w:rsidR="00E56788" w:rsidRPr="008734B9" w14:paraId="11CEACC5" w14:textId="77777777" w:rsidTr="009060E7">
        <w:tc>
          <w:tcPr>
            <w:tcW w:w="8784" w:type="dxa"/>
          </w:tcPr>
          <w:p w14:paraId="3FB80FB8" w14:textId="77777777" w:rsidR="00E56788" w:rsidRPr="008734B9" w:rsidRDefault="00E56788" w:rsidP="00160E2C">
            <w:pPr>
              <w:pStyle w:val="Notes"/>
              <w:spacing w:before="80" w:after="80"/>
              <w:jc w:val="left"/>
              <w:rPr>
                <w:b/>
                <w:sz w:val="22"/>
                <w:szCs w:val="22"/>
              </w:rPr>
            </w:pPr>
            <w:r w:rsidRPr="008734B9">
              <w:rPr>
                <w:b/>
                <w:sz w:val="22"/>
                <w:szCs w:val="22"/>
              </w:rPr>
              <w:t xml:space="preserve">L’annonce de plan est simple et claire </w:t>
            </w:r>
          </w:p>
        </w:tc>
        <w:tc>
          <w:tcPr>
            <w:tcW w:w="425" w:type="dxa"/>
            <w:shd w:val="clear" w:color="auto" w:fill="BFBFBF" w:themeFill="background1" w:themeFillShade="BF"/>
            <w:vAlign w:val="center"/>
          </w:tcPr>
          <w:p w14:paraId="133FCE01" w14:textId="77777777" w:rsidR="00E56788" w:rsidRPr="008734B9" w:rsidRDefault="00E56788" w:rsidP="00160E2C">
            <w:pPr>
              <w:pStyle w:val="Notes"/>
              <w:spacing w:before="80" w:after="80"/>
              <w:ind w:left="-10"/>
              <w:jc w:val="center"/>
              <w:rPr>
                <w:b/>
                <w:sz w:val="22"/>
                <w:szCs w:val="22"/>
              </w:rPr>
            </w:pPr>
          </w:p>
        </w:tc>
      </w:tr>
      <w:tr w:rsidR="00A91BD2" w:rsidRPr="008734B9" w14:paraId="2392CA7D" w14:textId="77777777" w:rsidTr="009060E7">
        <w:tc>
          <w:tcPr>
            <w:tcW w:w="8784" w:type="dxa"/>
          </w:tcPr>
          <w:p w14:paraId="40C6C214" w14:textId="77777777" w:rsidR="00A91BD2" w:rsidRPr="008734B9" w:rsidRDefault="000F2C67" w:rsidP="009060E7">
            <w:pPr>
              <w:pStyle w:val="Notes"/>
              <w:spacing w:before="40" w:after="40"/>
              <w:ind w:left="171"/>
              <w:jc w:val="left"/>
              <w:rPr>
                <w:i/>
                <w:sz w:val="22"/>
                <w:szCs w:val="22"/>
              </w:rPr>
            </w:pPr>
            <w:r>
              <w:rPr>
                <w:i/>
                <w:sz w:val="22"/>
                <w:szCs w:val="22"/>
              </w:rPr>
              <w:t xml:space="preserve">L’annonce est faite de bouts de phrases sans verbes, comme si les titres de partie étaient énumérés sans explication. Cette annonce ne permet pas de repérer facilement la cohérence ni la structure du plan.  </w:t>
            </w:r>
          </w:p>
        </w:tc>
        <w:tc>
          <w:tcPr>
            <w:tcW w:w="425" w:type="dxa"/>
            <w:vAlign w:val="center"/>
          </w:tcPr>
          <w:p w14:paraId="2410622B" w14:textId="77777777" w:rsidR="00A91BD2" w:rsidRPr="008734B9" w:rsidRDefault="00A91BD2" w:rsidP="009060E7">
            <w:pPr>
              <w:pStyle w:val="Notes"/>
              <w:spacing w:before="40" w:after="40"/>
              <w:ind w:left="-10"/>
              <w:jc w:val="center"/>
              <w:rPr>
                <w:sz w:val="22"/>
                <w:szCs w:val="22"/>
              </w:rPr>
            </w:pPr>
            <w:r>
              <w:rPr>
                <w:sz w:val="22"/>
                <w:szCs w:val="22"/>
              </w:rPr>
              <w:t>0</w:t>
            </w:r>
          </w:p>
        </w:tc>
      </w:tr>
      <w:tr w:rsidR="00E56788" w:rsidRPr="008734B9" w14:paraId="50411DE9" w14:textId="77777777" w:rsidTr="009060E7">
        <w:tc>
          <w:tcPr>
            <w:tcW w:w="8784" w:type="dxa"/>
          </w:tcPr>
          <w:p w14:paraId="516EE018" w14:textId="77777777" w:rsidR="00E56788" w:rsidRPr="008734B9" w:rsidRDefault="00E56788" w:rsidP="009060E7">
            <w:pPr>
              <w:pStyle w:val="Notes"/>
              <w:spacing w:before="40" w:after="40"/>
              <w:ind w:left="171"/>
              <w:jc w:val="left"/>
              <w:rPr>
                <w:i/>
                <w:sz w:val="22"/>
                <w:szCs w:val="22"/>
              </w:rPr>
            </w:pPr>
            <w:r w:rsidRPr="008734B9">
              <w:rPr>
                <w:i/>
                <w:sz w:val="22"/>
                <w:szCs w:val="22"/>
              </w:rPr>
              <w:t>Il est facile de repérer la structure. À chaque phrase correspond une partie.</w:t>
            </w:r>
            <w:r w:rsidR="000F2C67">
              <w:rPr>
                <w:i/>
                <w:sz w:val="22"/>
                <w:szCs w:val="22"/>
              </w:rPr>
              <w:t xml:space="preserve"> </w:t>
            </w:r>
          </w:p>
        </w:tc>
        <w:tc>
          <w:tcPr>
            <w:tcW w:w="425" w:type="dxa"/>
            <w:vAlign w:val="center"/>
          </w:tcPr>
          <w:p w14:paraId="2597EBE3" w14:textId="77777777" w:rsidR="00E56788" w:rsidRPr="008734B9" w:rsidRDefault="00E56788" w:rsidP="009060E7">
            <w:pPr>
              <w:pStyle w:val="Notes"/>
              <w:spacing w:before="40" w:after="40"/>
              <w:ind w:left="-10"/>
              <w:jc w:val="center"/>
              <w:rPr>
                <w:sz w:val="22"/>
                <w:szCs w:val="22"/>
              </w:rPr>
            </w:pPr>
            <w:r w:rsidRPr="008734B9">
              <w:rPr>
                <w:sz w:val="22"/>
                <w:szCs w:val="22"/>
              </w:rPr>
              <w:t>1</w:t>
            </w:r>
          </w:p>
        </w:tc>
      </w:tr>
      <w:tr w:rsidR="00E56788" w:rsidRPr="008734B9" w14:paraId="28BB1951" w14:textId="77777777" w:rsidTr="009060E7">
        <w:tc>
          <w:tcPr>
            <w:tcW w:w="8784" w:type="dxa"/>
          </w:tcPr>
          <w:p w14:paraId="6D254131" w14:textId="77777777" w:rsidR="00E56788" w:rsidRPr="008734B9" w:rsidRDefault="000F2C67" w:rsidP="009060E7">
            <w:pPr>
              <w:pStyle w:val="Notes"/>
              <w:spacing w:before="40" w:after="40"/>
              <w:ind w:left="171"/>
              <w:jc w:val="left"/>
              <w:rPr>
                <w:i/>
                <w:sz w:val="22"/>
                <w:szCs w:val="22"/>
              </w:rPr>
            </w:pPr>
            <w:r>
              <w:rPr>
                <w:i/>
                <w:sz w:val="22"/>
                <w:szCs w:val="22"/>
              </w:rPr>
              <w:t>Les phrases font ressortir la démonstration interne à chacune des parties. Elles</w:t>
            </w:r>
            <w:r w:rsidR="00E56788" w:rsidRPr="008734B9">
              <w:rPr>
                <w:i/>
                <w:sz w:val="22"/>
                <w:szCs w:val="22"/>
              </w:rPr>
              <w:t xml:space="preserve"> sont reliées par des connecteurs logiques (autres qu’une numérotation), qui permettent de comprendre le fil argumentatif</w:t>
            </w:r>
            <w:r>
              <w:rPr>
                <w:i/>
                <w:sz w:val="22"/>
                <w:szCs w:val="22"/>
              </w:rPr>
              <w:t xml:space="preserve"> général</w:t>
            </w:r>
            <w:r w:rsidR="00E56788" w:rsidRPr="008734B9">
              <w:rPr>
                <w:i/>
                <w:sz w:val="22"/>
                <w:szCs w:val="22"/>
              </w:rPr>
              <w:t xml:space="preserve">. </w:t>
            </w:r>
          </w:p>
        </w:tc>
        <w:tc>
          <w:tcPr>
            <w:tcW w:w="425" w:type="dxa"/>
            <w:vAlign w:val="center"/>
          </w:tcPr>
          <w:p w14:paraId="4942F4EE" w14:textId="77777777" w:rsidR="00E56788" w:rsidRPr="008734B9" w:rsidRDefault="00E56788" w:rsidP="009060E7">
            <w:pPr>
              <w:pStyle w:val="Notes"/>
              <w:spacing w:before="40" w:after="40"/>
              <w:ind w:left="-10"/>
              <w:jc w:val="center"/>
              <w:rPr>
                <w:sz w:val="22"/>
                <w:szCs w:val="22"/>
              </w:rPr>
            </w:pPr>
            <w:r w:rsidRPr="008734B9">
              <w:rPr>
                <w:sz w:val="22"/>
                <w:szCs w:val="22"/>
              </w:rPr>
              <w:t>2</w:t>
            </w:r>
          </w:p>
        </w:tc>
      </w:tr>
    </w:tbl>
    <w:p w14:paraId="2CC6FD83" w14:textId="77777777" w:rsidR="000F2C67" w:rsidRDefault="000F2C67" w:rsidP="00876279">
      <w:pPr>
        <w:pStyle w:val="Titre"/>
        <w:rPr>
          <w:rFonts w:cs="Times New Roman"/>
        </w:rPr>
      </w:pPr>
    </w:p>
    <w:p w14:paraId="68F85032" w14:textId="77777777" w:rsidR="000F2C67" w:rsidRDefault="000F2C67" w:rsidP="00876279">
      <w:pPr>
        <w:pStyle w:val="Titre"/>
        <w:rPr>
          <w:rFonts w:cs="Times New Roman"/>
        </w:rPr>
        <w:sectPr w:rsidR="000F2C67" w:rsidSect="00331953">
          <w:pgSz w:w="11905" w:h="16837"/>
          <w:pgMar w:top="885" w:right="1417" w:bottom="1417" w:left="1417" w:header="708" w:footer="708" w:gutter="0"/>
          <w:cols w:space="708"/>
          <w:docGrid w:linePitch="360"/>
          <w15:footnoteColumns w:val="2"/>
        </w:sectPr>
      </w:pPr>
    </w:p>
    <w:p w14:paraId="1929848E" w14:textId="77777777" w:rsidR="00753EBC" w:rsidRPr="00607133" w:rsidRDefault="00753EBC" w:rsidP="00876279">
      <w:pPr>
        <w:pStyle w:val="Titre"/>
        <w:rPr>
          <w:rFonts w:cs="Times New Roman"/>
        </w:rPr>
      </w:pPr>
      <w:r w:rsidRPr="00607133">
        <w:rPr>
          <w:rFonts w:cs="Times New Roman"/>
        </w:rPr>
        <w:lastRenderedPageBreak/>
        <w:t xml:space="preserve">Séances </w:t>
      </w:r>
      <w:r>
        <w:rPr>
          <w:rFonts w:cs="Times New Roman"/>
        </w:rPr>
        <w:t>4 et 5</w:t>
      </w:r>
      <w:r w:rsidR="00271893">
        <w:rPr>
          <w:rFonts w:cs="Times New Roman"/>
        </w:rPr>
        <w:t xml:space="preserve">. </w:t>
      </w:r>
      <w:r w:rsidRPr="00607133">
        <w:rPr>
          <w:rFonts w:cs="Times New Roman"/>
        </w:rPr>
        <w:t>Solidarités et assistance</w:t>
      </w:r>
      <w:r w:rsidR="00BE7DA5">
        <w:rPr>
          <w:rFonts w:cs="Times New Roman"/>
        </w:rPr>
        <w:t>s</w:t>
      </w:r>
      <w:r w:rsidRPr="00607133">
        <w:rPr>
          <w:rFonts w:cs="Times New Roman"/>
        </w:rPr>
        <w:t xml:space="preserve"> </w:t>
      </w:r>
    </w:p>
    <w:p w14:paraId="68CEEEC3" w14:textId="77777777" w:rsidR="001C2B3A" w:rsidRDefault="001C2B3A" w:rsidP="001C2B3A">
      <w:pPr>
        <w:pStyle w:val="Sansinterligne"/>
        <w:rPr>
          <w:lang w:eastAsia="fr-FR"/>
        </w:rPr>
      </w:pPr>
      <w:r>
        <w:rPr>
          <w:lang w:eastAsia="fr-FR"/>
        </w:rPr>
        <w:t>Source. Déclaration royale concernant les mendiants et les vagabonds (1724)</w:t>
      </w:r>
    </w:p>
    <w:p w14:paraId="65AA8B00" w14:textId="77777777" w:rsidR="003D7895" w:rsidRPr="00BC34DF" w:rsidRDefault="00753EBC" w:rsidP="00BC34DF">
      <w:pPr>
        <w:rPr>
          <w:rFonts w:cs="Times New Roman"/>
          <w:sz w:val="23"/>
          <w:szCs w:val="23"/>
          <w:lang w:eastAsia="fr-FR"/>
        </w:rPr>
      </w:pPr>
      <w:r w:rsidRPr="00607133">
        <w:rPr>
          <w:rFonts w:cs="Times New Roman"/>
          <w:sz w:val="23"/>
          <w:szCs w:val="23"/>
          <w:lang w:eastAsia="fr-FR"/>
        </w:rPr>
        <w:t xml:space="preserve">« Louis, par la grâce de Dieu roi de France et de Navarre. A tous ceux qui ces présentes lettres verront, salut. Nous avons toujours vu avec une peine extrême depuis notre avènement à la Couronne, la grande quantité de mendiants de l’un et de l’autre sexe qui sont répandus dans Paris et dans les autres villes et lieux de notre royaume, et dont le nombre augmente tous les jours : l’amour que Nous avons pour nos peuples Nous a fait chercher les expédients les plus convenables pour secourir ceux qui ne sont réduits à la mendicité que parce que leur grand âge ou leurs infirmités les mettent hors d’état de gagner leur vie </w:t>
      </w:r>
      <w:r w:rsidR="003D7895">
        <w:rPr>
          <w:rFonts w:ascii="Times New Roman" w:hAnsi="Times New Roman" w:cs="Times New Roman"/>
          <w:sz w:val="23"/>
          <w:szCs w:val="23"/>
          <w:lang w:eastAsia="fr-FR"/>
        </w:rPr>
        <w:t>[…]</w:t>
      </w:r>
      <w:r w:rsidRPr="00607133">
        <w:rPr>
          <w:rFonts w:cs="Times New Roman"/>
          <w:sz w:val="23"/>
          <w:szCs w:val="23"/>
          <w:lang w:eastAsia="fr-FR"/>
        </w:rPr>
        <w:t xml:space="preserve">. Et l’ordre public y est d’autant plus intéressé que l’oisiveté criminelle dans laquelle ils vivent prive les villes et les campagnes d’une infinité d’ouvrier nécessaires pour la culture des terres et pour les manufactures, et que la dissolution et la débauche qui sont la suite de cette même oisiveté les portent insensiblement aux plus grands crimes. Pour arrêter le progrès d’un si grand mal auquel on a voulu remédier dans tous les temps, mais sans succès jusqu’à présent, Nous avons fait examiner en notre conseil les différents règlements faits par les rois nos prédécesseurs, et ceux faits par différents princes et puissances de l’Europe, </w:t>
      </w:r>
      <w:r w:rsidR="008233F4">
        <w:rPr>
          <w:rFonts w:ascii="Times New Roman" w:hAnsi="Times New Roman" w:cs="Times New Roman"/>
          <w:sz w:val="23"/>
          <w:szCs w:val="23"/>
          <w:lang w:eastAsia="fr-FR"/>
        </w:rPr>
        <w:t>[…]</w:t>
      </w:r>
      <w:r w:rsidRPr="00607133">
        <w:rPr>
          <w:rFonts w:cs="Times New Roman"/>
          <w:sz w:val="23"/>
          <w:szCs w:val="23"/>
          <w:lang w:eastAsia="fr-FR"/>
        </w:rPr>
        <w:t xml:space="preserve">. Et Nous avons reconnu que ce qui avait pu empêcher le succès du grand nombre de règlements ci-devant faits à ce sujet, est que l’exécution n’en avait pas été générale dans tout le royaume, </w:t>
      </w:r>
      <w:r w:rsidR="00045DEB">
        <w:rPr>
          <w:rFonts w:ascii="Times New Roman" w:hAnsi="Times New Roman" w:cs="Times New Roman"/>
          <w:sz w:val="23"/>
          <w:szCs w:val="23"/>
          <w:lang w:eastAsia="fr-FR"/>
        </w:rPr>
        <w:t>[…]</w:t>
      </w:r>
      <w:r w:rsidR="00045DEB">
        <w:rPr>
          <w:rFonts w:cs="Times New Roman"/>
          <w:sz w:val="23"/>
          <w:szCs w:val="23"/>
          <w:lang w:eastAsia="fr-FR"/>
        </w:rPr>
        <w:t xml:space="preserve"> </w:t>
      </w:r>
      <w:r w:rsidRPr="00607133">
        <w:rPr>
          <w:rFonts w:cs="Times New Roman"/>
          <w:sz w:val="23"/>
          <w:szCs w:val="23"/>
          <w:lang w:eastAsia="fr-FR"/>
        </w:rPr>
        <w:t xml:space="preserve">; que l’on n’avait pas pourvu suffisamment à l’entretien des hôpitaux, </w:t>
      </w:r>
      <w:r w:rsidR="00045DEB">
        <w:rPr>
          <w:rFonts w:ascii="Times New Roman" w:hAnsi="Times New Roman" w:cs="Times New Roman"/>
          <w:sz w:val="23"/>
          <w:szCs w:val="23"/>
          <w:lang w:eastAsia="fr-FR"/>
        </w:rPr>
        <w:t>[…]</w:t>
      </w:r>
      <w:r w:rsidRPr="00607133">
        <w:rPr>
          <w:rFonts w:cs="Times New Roman"/>
          <w:sz w:val="23"/>
          <w:szCs w:val="23"/>
          <w:lang w:eastAsia="fr-FR"/>
        </w:rPr>
        <w:t xml:space="preserve"> ; que l’on n’avait point offert de travail et de retraite aux mendiants valides qui ne pouvaient en trouver, </w:t>
      </w:r>
      <w:r w:rsidR="00045DEB">
        <w:rPr>
          <w:rFonts w:ascii="Times New Roman" w:hAnsi="Times New Roman" w:cs="Times New Roman"/>
          <w:sz w:val="23"/>
          <w:szCs w:val="23"/>
          <w:lang w:eastAsia="fr-FR"/>
        </w:rPr>
        <w:t>[…]</w:t>
      </w:r>
      <w:r w:rsidR="00045DEB">
        <w:rPr>
          <w:rFonts w:cs="Times New Roman"/>
          <w:sz w:val="23"/>
          <w:szCs w:val="23"/>
          <w:lang w:eastAsia="fr-FR"/>
        </w:rPr>
        <w:t> ;</w:t>
      </w:r>
      <w:r w:rsidRPr="00607133">
        <w:rPr>
          <w:rFonts w:cs="Times New Roman"/>
          <w:sz w:val="23"/>
          <w:szCs w:val="23"/>
          <w:lang w:eastAsia="fr-FR"/>
        </w:rPr>
        <w:t xml:space="preserve"> </w:t>
      </w:r>
      <w:r w:rsidR="00045DEB">
        <w:rPr>
          <w:rFonts w:cs="Times New Roman"/>
          <w:sz w:val="23"/>
          <w:szCs w:val="23"/>
          <w:lang w:eastAsia="fr-FR"/>
        </w:rPr>
        <w:t>e</w:t>
      </w:r>
      <w:r w:rsidRPr="00607133">
        <w:rPr>
          <w:rFonts w:cs="Times New Roman"/>
          <w:sz w:val="23"/>
          <w:szCs w:val="23"/>
          <w:lang w:eastAsia="fr-FR"/>
        </w:rPr>
        <w:t xml:space="preserve">t qu’enfin les peines prononcées </w:t>
      </w:r>
      <w:r w:rsidR="00520B12">
        <w:rPr>
          <w:rFonts w:ascii="Times New Roman" w:hAnsi="Times New Roman" w:cs="Times New Roman"/>
          <w:sz w:val="23"/>
          <w:szCs w:val="23"/>
          <w:lang w:eastAsia="fr-FR"/>
        </w:rPr>
        <w:t>[</w:t>
      </w:r>
      <w:r w:rsidRPr="00607133">
        <w:rPr>
          <w:rFonts w:cs="Times New Roman"/>
          <w:sz w:val="23"/>
          <w:szCs w:val="23"/>
          <w:lang w:eastAsia="fr-FR"/>
        </w:rPr>
        <w:t>n’</w:t>
      </w:r>
      <w:r w:rsidR="00520B12">
        <w:rPr>
          <w:rFonts w:cs="Times New Roman"/>
          <w:sz w:val="23"/>
          <w:szCs w:val="23"/>
          <w:lang w:eastAsia="fr-FR"/>
        </w:rPr>
        <w:t>étaient</w:t>
      </w:r>
      <w:r w:rsidR="00520B12">
        <w:rPr>
          <w:rFonts w:ascii="Times New Roman" w:hAnsi="Times New Roman" w:cs="Times New Roman"/>
          <w:sz w:val="23"/>
          <w:szCs w:val="23"/>
          <w:lang w:eastAsia="fr-FR"/>
        </w:rPr>
        <w:t>]</w:t>
      </w:r>
      <w:r w:rsidRPr="00607133">
        <w:rPr>
          <w:rFonts w:cs="Times New Roman"/>
          <w:sz w:val="23"/>
          <w:szCs w:val="23"/>
          <w:lang w:eastAsia="fr-FR"/>
        </w:rPr>
        <w:t xml:space="preserve"> pas assez sévères, </w:t>
      </w:r>
      <w:r w:rsidR="008233F4">
        <w:rPr>
          <w:rFonts w:ascii="Times New Roman" w:hAnsi="Times New Roman" w:cs="Times New Roman"/>
          <w:sz w:val="23"/>
          <w:szCs w:val="23"/>
          <w:lang w:eastAsia="fr-FR"/>
        </w:rPr>
        <w:t>[…]</w:t>
      </w:r>
      <w:r w:rsidRPr="00607133">
        <w:rPr>
          <w:rFonts w:cs="Times New Roman"/>
          <w:sz w:val="23"/>
          <w:szCs w:val="23"/>
          <w:lang w:eastAsia="fr-FR"/>
        </w:rPr>
        <w:t>. Nous espérons par ces justes mesures et par la fermeté que Nous apporterons à l’exécution de notre présente déclaration, de faire cesser enfin un si grand désordre, distinguer le véritable pauvre qui mérite tout le secours et compassion d’avec celui qui se couvre faussement de son nom pour lui voler sa subsistance, et de rendre utile à l’</w:t>
      </w:r>
      <w:r w:rsidR="00245D7B">
        <w:rPr>
          <w:rFonts w:cs="Times New Roman"/>
          <w:sz w:val="23"/>
          <w:szCs w:val="23"/>
          <w:lang w:eastAsia="fr-FR"/>
        </w:rPr>
        <w:t>É</w:t>
      </w:r>
      <w:r w:rsidRPr="00607133">
        <w:rPr>
          <w:rFonts w:cs="Times New Roman"/>
          <w:sz w:val="23"/>
          <w:szCs w:val="23"/>
          <w:lang w:eastAsia="fr-FR"/>
        </w:rPr>
        <w:t>tat un grand nombre de citoyens qui lui avaient été à charge jusqu’à présent.</w:t>
      </w:r>
      <w:r w:rsidR="003D7895">
        <w:rPr>
          <w:rFonts w:cs="Times New Roman"/>
          <w:sz w:val="23"/>
          <w:szCs w:val="23"/>
          <w:lang w:eastAsia="fr-FR"/>
        </w:rPr>
        <w:t xml:space="preserve"> </w:t>
      </w:r>
      <w:r w:rsidR="003D7895">
        <w:rPr>
          <w:rFonts w:ascii="Times New Roman" w:hAnsi="Times New Roman" w:cs="Times New Roman"/>
          <w:sz w:val="23"/>
          <w:szCs w:val="23"/>
          <w:lang w:eastAsia="fr-FR"/>
        </w:rPr>
        <w:t>[…]</w:t>
      </w:r>
    </w:p>
    <w:p w14:paraId="5AA368DF" w14:textId="77777777" w:rsidR="00753EBC" w:rsidRPr="00607133" w:rsidRDefault="00245D7B" w:rsidP="003D7895">
      <w:pPr>
        <w:rPr>
          <w:rFonts w:cs="Times New Roman"/>
          <w:sz w:val="23"/>
          <w:szCs w:val="23"/>
          <w:lang w:eastAsia="fr-FR"/>
        </w:rPr>
      </w:pPr>
      <w:r>
        <w:rPr>
          <w:rFonts w:cs="Times New Roman"/>
          <w:sz w:val="23"/>
          <w:szCs w:val="23"/>
          <w:lang w:eastAsia="fr-FR"/>
        </w:rPr>
        <w:t>Article 1</w:t>
      </w:r>
      <w:r w:rsidR="00753EBC" w:rsidRPr="00607133">
        <w:rPr>
          <w:rFonts w:cs="Times New Roman"/>
          <w:sz w:val="23"/>
          <w:szCs w:val="23"/>
          <w:lang w:eastAsia="fr-FR"/>
        </w:rPr>
        <w:t xml:space="preserve">. Enjoignons à tous mendiants, tant hommes que femmes, valides et capable, de gagner leur vie par leur travail, de prendre un emploi pour subsister de leur travail, soit en se mettant en condition pour servir, ou en travaillant à la culture des terres, ou autres ouvrages ou métiers dont ils peuvent être capables, et ce dans quinzaine, du jour de la publication de la présente déclaration. Enjoignons pareillement aux mendiants invalides, ou qui par leur grand âge sont hors d’état de gagner leur vie par leur travail, même aux enfants, nourrices et femmes grosses qui mendient faute de moyen de subsister, de se présenter pendant ledit temps dans les hôpitaux les plus prochains de leur demeure, où ils seront reçus gratuitement, et employés au profit des hôpitaux à des ouvrages proportionnés à leur âge et à leurs forces, pour fournir du moins en partie à leur entretien et à leur subsistance. </w:t>
      </w:r>
      <w:r>
        <w:rPr>
          <w:rFonts w:ascii="Times New Roman" w:hAnsi="Times New Roman" w:cs="Times New Roman"/>
          <w:sz w:val="23"/>
          <w:szCs w:val="23"/>
          <w:lang w:eastAsia="fr-FR"/>
        </w:rPr>
        <w:t>[…]</w:t>
      </w:r>
    </w:p>
    <w:p w14:paraId="49FB261A" w14:textId="77777777" w:rsidR="00753EBC" w:rsidRPr="00607133" w:rsidRDefault="00245D7B" w:rsidP="00245D7B">
      <w:pPr>
        <w:rPr>
          <w:rFonts w:cs="Times New Roman"/>
          <w:sz w:val="23"/>
          <w:szCs w:val="23"/>
          <w:lang w:eastAsia="fr-FR"/>
        </w:rPr>
      </w:pPr>
      <w:r>
        <w:rPr>
          <w:rFonts w:ascii="Times New Roman" w:hAnsi="Times New Roman" w:cs="Times New Roman"/>
          <w:sz w:val="23"/>
          <w:szCs w:val="23"/>
          <w:lang w:eastAsia="fr-FR"/>
        </w:rPr>
        <w:t>[…]</w:t>
      </w:r>
      <w:r w:rsidR="00753EBC" w:rsidRPr="00607133">
        <w:rPr>
          <w:rFonts w:cs="Times New Roman"/>
          <w:sz w:val="23"/>
          <w:szCs w:val="23"/>
          <w:lang w:eastAsia="fr-FR"/>
        </w:rPr>
        <w:t>.</w:t>
      </w:r>
      <w:r>
        <w:rPr>
          <w:rFonts w:cs="Times New Roman"/>
          <w:sz w:val="23"/>
          <w:szCs w:val="23"/>
          <w:lang w:eastAsia="fr-FR"/>
        </w:rPr>
        <w:t xml:space="preserve"> </w:t>
      </w:r>
      <w:r w:rsidR="00753EBC" w:rsidRPr="00607133">
        <w:rPr>
          <w:rFonts w:cs="Times New Roman"/>
          <w:sz w:val="23"/>
          <w:szCs w:val="23"/>
          <w:lang w:eastAsia="fr-FR"/>
        </w:rPr>
        <w:t xml:space="preserve">III. Voulons en conséquence qu’après ledit délais de quinzaine expiré, les hommes et femmes valides qui seront trouvés mendiant dans notre bonne ville de Paris et autres villes et lieux de notre royaume, même les mendiants ou mendiants invalides et enfants, soient arrêtés et conduits dans les hôpitaux généraux les plus proches des lieux où ils auront été arrêtés, et dans lesquels les mendiants invalides seront nourris pendant leur vie, les enfants jusqu’à ce qu’ils aient atteint l’âge suffisant pour gagner leur vie par leur travail. Et à l’égard des femmes grosses et des nourrices, elles seront gardées pendant le temps qui sera jugé convenable par les directeurs desdits hôpitaux. Quant aux hommes et femmes valides, ils seront renfermés et nourris au pain et à l’eau pendant le temps qui sera jugé à propos par les directeurs et administrateurs des dits hôpitaux, qui ne pourra être moindre de deux mois. Et au cas qu’ils soient arrêtés une seconde fois mendiant, soit dans les mêmes lieux où ils auront été arrêtés ou renfermés, soit en </w:t>
      </w:r>
      <w:proofErr w:type="spellStart"/>
      <w:r w:rsidR="00753EBC" w:rsidRPr="00607133">
        <w:rPr>
          <w:rFonts w:cs="Times New Roman"/>
          <w:sz w:val="23"/>
          <w:szCs w:val="23"/>
          <w:lang w:eastAsia="fr-FR"/>
        </w:rPr>
        <w:t>quelqu’autres</w:t>
      </w:r>
      <w:proofErr w:type="spellEnd"/>
      <w:r w:rsidR="00753EBC" w:rsidRPr="00607133">
        <w:rPr>
          <w:rFonts w:cs="Times New Roman"/>
          <w:sz w:val="23"/>
          <w:szCs w:val="23"/>
          <w:lang w:eastAsia="fr-FR"/>
        </w:rPr>
        <w:t xml:space="preserve"> lieux de notre royaume, les invalides seront retenus dans lesdits hôpitaux pendant leur vie, pour y être nourris. Et les hommes et femmes valides condamnés par les </w:t>
      </w:r>
      <w:r w:rsidR="00753EBC" w:rsidRPr="00607133">
        <w:rPr>
          <w:rFonts w:cs="Times New Roman"/>
          <w:sz w:val="23"/>
          <w:szCs w:val="23"/>
          <w:lang w:eastAsia="fr-FR"/>
        </w:rPr>
        <w:lastRenderedPageBreak/>
        <w:t xml:space="preserve">officiers ci-après nommés être renfermés dans lesdits hôpitaux pour le temps et espace de trois mois au moins, et en outre marqués avant leur élargissement d’une marque en forme de la lettre M au bras, et ce dans l’intérieur de la prison ou de l’hôpital, sans que cette marque emporte infamie. Et au cas que les uns ou les autres soient arrêtés mendiant une troisième fois en quelque lieu que puisse être, les femmes valides soient condamnées par les officiers ci-après nommés à être enfermées dans les hôpitaux généraux pendant le temps qui sera jugé convenable qui ne pourra être moindre de cinq années, même à perpétuité s’il y échoit, et les hommes valides aux galères pour cinq années au moins. </w:t>
      </w:r>
      <w:r>
        <w:rPr>
          <w:rFonts w:ascii="Times New Roman" w:hAnsi="Times New Roman" w:cs="Times New Roman"/>
          <w:sz w:val="23"/>
          <w:szCs w:val="23"/>
          <w:lang w:eastAsia="fr-FR"/>
        </w:rPr>
        <w:t>[…]</w:t>
      </w:r>
    </w:p>
    <w:p w14:paraId="42F18D49" w14:textId="77777777" w:rsidR="00E65E00" w:rsidRDefault="00245D7B" w:rsidP="00D46722">
      <w:pPr>
        <w:rPr>
          <w:rFonts w:cs="Times New Roman"/>
          <w:sz w:val="23"/>
          <w:szCs w:val="23"/>
          <w:lang w:eastAsia="fr-FR"/>
        </w:rPr>
      </w:pPr>
      <w:r>
        <w:rPr>
          <w:rFonts w:ascii="Times New Roman" w:hAnsi="Times New Roman" w:cs="Times New Roman"/>
          <w:sz w:val="23"/>
          <w:szCs w:val="23"/>
          <w:lang w:eastAsia="fr-FR"/>
        </w:rPr>
        <w:t>[</w:t>
      </w:r>
      <w:r>
        <w:rPr>
          <w:rFonts w:cs="Times New Roman"/>
          <w:sz w:val="23"/>
          <w:szCs w:val="23"/>
          <w:lang w:eastAsia="fr-FR"/>
        </w:rPr>
        <w:t>…</w:t>
      </w:r>
      <w:r>
        <w:rPr>
          <w:rFonts w:ascii="Times New Roman" w:hAnsi="Times New Roman" w:cs="Times New Roman"/>
          <w:sz w:val="23"/>
          <w:szCs w:val="23"/>
          <w:lang w:eastAsia="fr-FR"/>
        </w:rPr>
        <w:t>]</w:t>
      </w:r>
      <w:r w:rsidR="00753EBC" w:rsidRPr="00607133">
        <w:rPr>
          <w:rFonts w:cs="Times New Roman"/>
          <w:sz w:val="23"/>
          <w:szCs w:val="23"/>
          <w:lang w:eastAsia="fr-FR"/>
        </w:rPr>
        <w:t>.</w:t>
      </w:r>
      <w:r>
        <w:rPr>
          <w:rFonts w:cs="Times New Roman"/>
          <w:sz w:val="23"/>
          <w:szCs w:val="23"/>
          <w:lang w:eastAsia="fr-FR"/>
        </w:rPr>
        <w:t xml:space="preserve"> </w:t>
      </w:r>
      <w:r w:rsidR="00753EBC" w:rsidRPr="00607133">
        <w:rPr>
          <w:rFonts w:cs="Times New Roman"/>
          <w:sz w:val="23"/>
          <w:szCs w:val="23"/>
          <w:lang w:eastAsia="fr-FR"/>
        </w:rPr>
        <w:t xml:space="preserve">V. Et pour connaître plus facilement ceux qui auront déjà été arrêtés une première fois, ou contre lesquels il y aurait d’ailleurs des plaintes ou autres faits qui méritent d’être approfondis, Nous voulons et ordonnons qu’il soit établi en l’hôpital général de Paris un bureau général de correspondance avec tous les autres hôpitaux du royaume. On y tiendra un registre exact de tous les mendiants qui seront arrêtés, contenant leurs noms, surnoms, âges et pays, ainsi qu’il aura été par eux déclaré, avec les autres circonstances principales qu’on aura pu tirer de leurs interrogatoires, et les principaux signalements de leurs personnes. Et tous les hôpitaux de province tiendront un pareil registre des mendiants amenés en leur maison, dont ils </w:t>
      </w:r>
      <w:r w:rsidR="0015589A">
        <w:rPr>
          <w:rFonts w:cs="Times New Roman"/>
          <w:sz w:val="23"/>
          <w:szCs w:val="23"/>
          <w:lang w:eastAsia="fr-FR"/>
        </w:rPr>
        <w:t>enverront</w:t>
      </w:r>
      <w:r w:rsidR="00753EBC" w:rsidRPr="00607133">
        <w:rPr>
          <w:rFonts w:cs="Times New Roman"/>
          <w:sz w:val="23"/>
          <w:szCs w:val="23"/>
          <w:lang w:eastAsia="fr-FR"/>
        </w:rPr>
        <w:t xml:space="preserve"> une copie toutes les semaines au bureau général établi à Paris, sur lesquelles copies on formera au bureau de Paris un registre général de tous les mendiants arrêtés dans toute l’étendue du royaume, sur lequel on portera au nom de chaque mendiant les notes et observations résultant de leurs interrogatoires, et ce que l’on aura pu découvrir à leur sujet dans les copies des registres des autres hôpitaux. On y tiendra aussi un registre alphabétique du nom de tous lesdits mendiants. On fera imprimer à la fin de chaque semaine la copie de ce qui aura été porté pendant le cours de la semaine sur le registre général et sur le registre alphabétique, et il en sera envoyé un imprimé à chacun des hôpitaux du royaume, ensemble à tous les officiers de police et de maréchaussée. Au moyen de quoi chaque hôpital ayant les renseignements nécessaires des mendiants arrêtés dans toute l’étendue du royaume, on démêlera facilement ceux qui ayant été arrêtés pour une première fois, auront été mendier dans d’autres provinces dans l’espérance de n’y être pas reconnus, ou ceux contre lesquels il y aura d’autres sujets qui méritent un châtiment plus sévère […]</w:t>
      </w:r>
      <w:r w:rsidR="00D46722">
        <w:rPr>
          <w:rFonts w:cs="Times New Roman"/>
          <w:sz w:val="23"/>
          <w:szCs w:val="23"/>
          <w:lang w:eastAsia="fr-FR"/>
        </w:rPr>
        <w:t>.</w:t>
      </w:r>
    </w:p>
    <w:p w14:paraId="47C5FB31" w14:textId="77777777" w:rsidR="00753EBC" w:rsidRPr="00607133" w:rsidRDefault="00E65E00" w:rsidP="00D46722">
      <w:pPr>
        <w:rPr>
          <w:rFonts w:cs="Times New Roman"/>
          <w:sz w:val="23"/>
          <w:szCs w:val="23"/>
          <w:lang w:eastAsia="fr-FR"/>
        </w:rPr>
      </w:pPr>
      <w:r>
        <w:rPr>
          <w:rFonts w:cs="Times New Roman"/>
          <w:sz w:val="23"/>
          <w:szCs w:val="23"/>
          <w:lang w:eastAsia="fr-FR"/>
        </w:rPr>
        <w:t xml:space="preserve">VI. Les mendiants qui seront arrêtés demandant l’aumône avec insolence, ceux qui se diront faussement soldats qui sont porteurs de congés qui ne seraient pas véritables, ceux qui lorsqu’ils auront été arrêtés et conduits à l’Hôpital auront déguisé leurs noms et surnoms et le lieu de leur naissance, ensemble ceux qui seront arrêtés contrefaisant les estropiés, ou qui feindraient des maladies qu’ils n’auraient pas, ceux qui se seraient attroupés au-dessus du nombre de quatre, non compris les enfants, soit dans les villes ou dans les campagnes, ou qui auraient été trouvés armés de fusils, pistolets, épées, bâtons ou autres armes. Et ceux qui se trouveraient flétris d’une Fleur-de-Lis ou de la lettre V ou autre marque infamante, seront condamnés quoi qu’arrêtés pour la première fois </w:t>
      </w:r>
      <w:r>
        <w:rPr>
          <w:rFonts w:ascii="Times New Roman" w:hAnsi="Times New Roman" w:cs="Times New Roman"/>
          <w:sz w:val="23"/>
          <w:szCs w:val="23"/>
          <w:lang w:eastAsia="fr-FR"/>
        </w:rPr>
        <w:t xml:space="preserve">[en] </w:t>
      </w:r>
      <w:r>
        <w:rPr>
          <w:rFonts w:cs="Times New Roman"/>
          <w:sz w:val="23"/>
          <w:szCs w:val="23"/>
          <w:lang w:eastAsia="fr-FR"/>
        </w:rPr>
        <w:t>mendiant, savoir, les hommes valides aux Galères au moins pour cinq années, et à l’égard des femmes ou des hommes invalides, au fouet dans l’intérieur de l’Hôpital, et à une détention à l’Hôpital général à temps ou à perpétuité, suivant l’exigence des cas</w:t>
      </w:r>
      <w:r w:rsidR="001E57AA">
        <w:rPr>
          <w:rFonts w:cs="Times New Roman"/>
          <w:sz w:val="23"/>
          <w:szCs w:val="23"/>
          <w:lang w:eastAsia="fr-FR"/>
        </w:rPr>
        <w:t xml:space="preserve"> </w:t>
      </w:r>
      <w:r w:rsidR="001E57AA">
        <w:rPr>
          <w:rFonts w:ascii="Times New Roman" w:hAnsi="Times New Roman" w:cs="Times New Roman"/>
          <w:sz w:val="23"/>
          <w:szCs w:val="23"/>
          <w:lang w:eastAsia="fr-FR"/>
        </w:rPr>
        <w:t>[…]</w:t>
      </w:r>
      <w:r w:rsidR="001E57AA">
        <w:rPr>
          <w:rFonts w:cs="Times New Roman"/>
          <w:sz w:val="23"/>
          <w:szCs w:val="23"/>
          <w:lang w:eastAsia="fr-FR"/>
        </w:rPr>
        <w:t xml:space="preserve">. </w:t>
      </w:r>
      <w:r w:rsidR="00753EBC" w:rsidRPr="00607133">
        <w:rPr>
          <w:rFonts w:cs="Times New Roman"/>
          <w:sz w:val="23"/>
          <w:szCs w:val="23"/>
          <w:lang w:eastAsia="fr-FR"/>
        </w:rPr>
        <w:t>»</w:t>
      </w:r>
    </w:p>
    <w:p w14:paraId="11426032" w14:textId="77777777" w:rsidR="00753EBC" w:rsidRPr="00607133" w:rsidRDefault="00753EBC" w:rsidP="004E278A">
      <w:pPr>
        <w:rPr>
          <w:rFonts w:cs="Times New Roman"/>
          <w:i/>
          <w:sz w:val="23"/>
          <w:szCs w:val="23"/>
          <w:lang w:eastAsia="fr-FR"/>
        </w:rPr>
      </w:pPr>
      <w:r w:rsidRPr="00607133">
        <w:rPr>
          <w:rFonts w:cs="Times New Roman"/>
          <w:sz w:val="23"/>
          <w:szCs w:val="23"/>
          <w:lang w:eastAsia="fr-FR"/>
        </w:rPr>
        <w:tab/>
      </w:r>
      <w:r w:rsidRPr="00607133">
        <w:rPr>
          <w:rFonts w:cs="Times New Roman"/>
          <w:i/>
          <w:sz w:val="23"/>
          <w:szCs w:val="23"/>
          <w:lang w:eastAsia="fr-FR"/>
        </w:rPr>
        <w:t>[L’édit comporte XII articles].</w:t>
      </w:r>
      <w:r w:rsidR="004E278A">
        <w:rPr>
          <w:rFonts w:cs="Times New Roman"/>
          <w:i/>
          <w:sz w:val="23"/>
          <w:szCs w:val="23"/>
          <w:lang w:eastAsia="fr-FR"/>
        </w:rPr>
        <w:t xml:space="preserve"> </w:t>
      </w:r>
      <w:r w:rsidRPr="00607133">
        <w:rPr>
          <w:rFonts w:cs="Times New Roman"/>
          <w:i/>
          <w:sz w:val="23"/>
          <w:szCs w:val="23"/>
          <w:lang w:eastAsia="fr-FR"/>
        </w:rPr>
        <w:t xml:space="preserve">[Il est signé « Louis. Et plus bas, Par le Roi, </w:t>
      </w:r>
      <w:proofErr w:type="spellStart"/>
      <w:r w:rsidRPr="00607133">
        <w:rPr>
          <w:rFonts w:cs="Times New Roman"/>
          <w:i/>
          <w:sz w:val="23"/>
          <w:szCs w:val="23"/>
          <w:lang w:eastAsia="fr-FR"/>
        </w:rPr>
        <w:t>Phélypeaux</w:t>
      </w:r>
      <w:proofErr w:type="spellEnd"/>
      <w:r w:rsidRPr="00607133">
        <w:rPr>
          <w:rFonts w:cs="Times New Roman"/>
          <w:i/>
          <w:sz w:val="23"/>
          <w:szCs w:val="23"/>
          <w:lang w:eastAsia="fr-FR"/>
        </w:rPr>
        <w:t xml:space="preserve">. Vu au conseil, </w:t>
      </w:r>
      <w:proofErr w:type="spellStart"/>
      <w:r w:rsidRPr="00607133">
        <w:rPr>
          <w:rFonts w:cs="Times New Roman"/>
          <w:i/>
          <w:sz w:val="23"/>
          <w:szCs w:val="23"/>
          <w:lang w:eastAsia="fr-FR"/>
        </w:rPr>
        <w:t>Dodun</w:t>
      </w:r>
      <w:proofErr w:type="spellEnd"/>
      <w:r w:rsidRPr="00607133">
        <w:rPr>
          <w:rFonts w:cs="Times New Roman"/>
          <w:i/>
          <w:sz w:val="23"/>
          <w:szCs w:val="23"/>
          <w:lang w:eastAsia="fr-FR"/>
        </w:rPr>
        <w:t>. ET scellé du grand sceau de cire jaune ». Il est enregistré au parlement de Paris le 26 juillet 1724, imprimé par l’imprimerie royale et envoyé aux bailliages et sénéchaussées du ressort pour y être lu, publié et enregistré].</w:t>
      </w:r>
    </w:p>
    <w:p w14:paraId="3A710607" w14:textId="77777777" w:rsidR="00753EBC" w:rsidRPr="00607133" w:rsidRDefault="00753EBC" w:rsidP="00753EBC">
      <w:pPr>
        <w:pStyle w:val="Standard"/>
        <w:jc w:val="right"/>
        <w:rPr>
          <w:rFonts w:ascii="Garamond" w:hAnsi="Garamond" w:cs="Times New Roman"/>
          <w:lang w:eastAsia="fr-FR" w:bidi="ar-SA"/>
        </w:rPr>
      </w:pPr>
    </w:p>
    <w:p w14:paraId="1D01064C" w14:textId="77777777" w:rsidR="001C2B3A" w:rsidRPr="000F2C67" w:rsidRDefault="00753EBC" w:rsidP="000F2C67">
      <w:pPr>
        <w:pStyle w:val="Standard"/>
        <w:jc w:val="right"/>
        <w:rPr>
          <w:rFonts w:ascii="Garamond" w:hAnsi="Garamond" w:cs="Times New Roman"/>
          <w:color w:val="0563C1" w:themeColor="hyperlink"/>
          <w:sz w:val="20"/>
          <w:szCs w:val="20"/>
          <w:u w:val="single"/>
        </w:rPr>
      </w:pPr>
      <w:r w:rsidRPr="00607133">
        <w:rPr>
          <w:rFonts w:ascii="Garamond" w:hAnsi="Garamond" w:cs="Times New Roman"/>
          <w:lang w:eastAsia="fr-FR" w:bidi="ar-SA"/>
        </w:rPr>
        <w:tab/>
      </w:r>
      <w:r w:rsidR="00AD51A9" w:rsidRPr="00BD4137">
        <w:rPr>
          <w:rFonts w:ascii="Garamond" w:hAnsi="Garamond" w:cs="Times New Roman"/>
          <w:i/>
          <w:sz w:val="20"/>
          <w:szCs w:val="20"/>
          <w:lang w:eastAsia="fr-FR" w:bidi="ar-SA"/>
        </w:rPr>
        <w:t>Déclaration</w:t>
      </w:r>
      <w:r w:rsidR="00BD4137" w:rsidRPr="00BD4137">
        <w:rPr>
          <w:rFonts w:ascii="Garamond" w:hAnsi="Garamond" w:cs="Times New Roman"/>
          <w:i/>
          <w:sz w:val="20"/>
          <w:szCs w:val="20"/>
          <w:lang w:eastAsia="fr-FR" w:bidi="ar-SA"/>
        </w:rPr>
        <w:t xml:space="preserve"> du </w:t>
      </w:r>
      <w:proofErr w:type="spellStart"/>
      <w:r w:rsidR="00BD4137" w:rsidRPr="00BD4137">
        <w:rPr>
          <w:rFonts w:ascii="Garamond" w:hAnsi="Garamond" w:cs="Times New Roman"/>
          <w:i/>
          <w:sz w:val="20"/>
          <w:szCs w:val="20"/>
          <w:lang w:eastAsia="fr-FR" w:bidi="ar-SA"/>
        </w:rPr>
        <w:t>roy</w:t>
      </w:r>
      <w:proofErr w:type="spellEnd"/>
      <w:r w:rsidR="00BD4137" w:rsidRPr="00BD4137">
        <w:rPr>
          <w:rFonts w:ascii="Garamond" w:hAnsi="Garamond" w:cs="Times New Roman"/>
          <w:i/>
          <w:sz w:val="20"/>
          <w:szCs w:val="20"/>
          <w:lang w:eastAsia="fr-FR" w:bidi="ar-SA"/>
        </w:rPr>
        <w:t xml:space="preserve"> concernant les mendiants et les vagabonds, donnée à Chantilly le 18 juillet 1724, </w:t>
      </w:r>
      <w:r w:rsidR="00BD4137">
        <w:rPr>
          <w:rFonts w:ascii="Garamond" w:hAnsi="Garamond" w:cs="Times New Roman"/>
          <w:i/>
          <w:sz w:val="20"/>
          <w:szCs w:val="20"/>
          <w:lang w:eastAsia="fr-FR" w:bidi="ar-SA"/>
        </w:rPr>
        <w:br/>
      </w:r>
      <w:r w:rsidR="00BD4137" w:rsidRPr="00BD4137">
        <w:rPr>
          <w:rFonts w:ascii="Garamond" w:hAnsi="Garamond" w:cs="Times New Roman"/>
          <w:i/>
          <w:sz w:val="20"/>
          <w:szCs w:val="20"/>
          <w:lang w:eastAsia="fr-FR" w:bidi="ar-SA"/>
        </w:rPr>
        <w:t>enregistrée en Parlement le 26 juillet 1724</w:t>
      </w:r>
      <w:r w:rsidR="00BD4137" w:rsidRPr="00BD4137">
        <w:rPr>
          <w:rFonts w:ascii="Garamond" w:hAnsi="Garamond" w:cs="Times New Roman"/>
          <w:sz w:val="20"/>
          <w:szCs w:val="20"/>
          <w:lang w:eastAsia="fr-FR" w:bidi="ar-SA"/>
        </w:rPr>
        <w:t xml:space="preserve">, Paris, Imprimerie royale, 1724, </w:t>
      </w:r>
      <w:r w:rsidR="00BD4137">
        <w:rPr>
          <w:rFonts w:ascii="Garamond" w:hAnsi="Garamond" w:cs="Times New Roman"/>
          <w:sz w:val="20"/>
          <w:szCs w:val="20"/>
          <w:lang w:eastAsia="fr-FR" w:bidi="ar-SA"/>
        </w:rPr>
        <w:br/>
      </w:r>
      <w:r w:rsidR="00BD4137" w:rsidRPr="00BD4137">
        <w:rPr>
          <w:rFonts w:ascii="Garamond" w:hAnsi="Garamond" w:cs="Times New Roman"/>
          <w:sz w:val="20"/>
          <w:szCs w:val="20"/>
          <w:lang w:eastAsia="fr-FR" w:bidi="ar-SA"/>
        </w:rPr>
        <w:t xml:space="preserve">[En ligne] : </w:t>
      </w:r>
      <w:hyperlink r:id="rId12" w:history="1">
        <w:r w:rsidR="0068097B" w:rsidRPr="00061C63">
          <w:rPr>
            <w:rStyle w:val="Lienhypertexte"/>
            <w:rFonts w:ascii="Garamond" w:hAnsi="Garamond" w:cs="Times New Roman"/>
            <w:sz w:val="20"/>
            <w:szCs w:val="20"/>
          </w:rPr>
          <w:t>https://gallica.bnf.fr/ark:/12148/btv1b8608730k/</w:t>
        </w:r>
      </w:hyperlink>
      <w:r w:rsidR="0068097B">
        <w:rPr>
          <w:rFonts w:ascii="Garamond" w:hAnsi="Garamond" w:cs="Times New Roman"/>
          <w:sz w:val="20"/>
          <w:szCs w:val="20"/>
        </w:rPr>
        <w:t>.</w:t>
      </w:r>
      <w:r w:rsidR="0068097B">
        <w:rPr>
          <w:rStyle w:val="Lienhypertexte"/>
          <w:rFonts w:ascii="Garamond" w:hAnsi="Garamond" w:cs="Times New Roman"/>
          <w:sz w:val="20"/>
          <w:szCs w:val="20"/>
        </w:rPr>
        <w:t xml:space="preserve"> </w:t>
      </w:r>
    </w:p>
    <w:p w14:paraId="4B5B5D96" w14:textId="77777777" w:rsidR="00271893" w:rsidRDefault="00271893">
      <w:pPr>
        <w:spacing w:before="0" w:after="0" w:line="240" w:lineRule="auto"/>
        <w:ind w:firstLine="0"/>
        <w:jc w:val="left"/>
        <w:rPr>
          <w:b/>
          <w:lang w:eastAsia="fr-FR"/>
        </w:rPr>
      </w:pPr>
      <w:r>
        <w:rPr>
          <w:lang w:eastAsia="fr-FR"/>
        </w:rPr>
        <w:br w:type="page"/>
      </w:r>
    </w:p>
    <w:p w14:paraId="0B222461" w14:textId="77777777" w:rsidR="001C2B3A" w:rsidRDefault="001C2B3A" w:rsidP="001C2B3A">
      <w:pPr>
        <w:pStyle w:val="Sansinterligne"/>
        <w:rPr>
          <w:lang w:eastAsia="fr-FR"/>
        </w:rPr>
      </w:pPr>
      <w:r>
        <w:rPr>
          <w:lang w:eastAsia="fr-FR"/>
        </w:rPr>
        <w:lastRenderedPageBreak/>
        <w:t xml:space="preserve">Bibliographie sommaire </w:t>
      </w:r>
    </w:p>
    <w:p w14:paraId="37DA4B65" w14:textId="77777777" w:rsidR="00FE5AF7" w:rsidRPr="00FE5AF7" w:rsidRDefault="00FE5AF7" w:rsidP="00FE5AF7">
      <w:pPr>
        <w:pStyle w:val="Biblio"/>
        <w:rPr>
          <w:sz w:val="20"/>
          <w:lang w:eastAsia="fr-FR"/>
        </w:rPr>
      </w:pPr>
      <w:proofErr w:type="spellStart"/>
      <w:r w:rsidRPr="00FE5AF7">
        <w:rPr>
          <w:smallCaps/>
          <w:sz w:val="20"/>
          <w:lang w:eastAsia="fr-FR"/>
        </w:rPr>
        <w:t>Depauw</w:t>
      </w:r>
      <w:proofErr w:type="spellEnd"/>
      <w:r w:rsidRPr="00FE5AF7">
        <w:rPr>
          <w:sz w:val="20"/>
          <w:lang w:eastAsia="fr-FR"/>
        </w:rPr>
        <w:t xml:space="preserve">, Jacques, « Pauvres, pauvres mendiants, mendiants valides ou vagabonds ? Les hésitations de la législation royale », </w:t>
      </w:r>
      <w:r w:rsidRPr="00FE5AF7">
        <w:rPr>
          <w:i/>
          <w:sz w:val="20"/>
          <w:lang w:eastAsia="fr-FR"/>
        </w:rPr>
        <w:t>Revue d’histoire moderne et contemporaine</w:t>
      </w:r>
      <w:r w:rsidRPr="00FE5AF7">
        <w:rPr>
          <w:sz w:val="20"/>
          <w:lang w:eastAsia="fr-FR"/>
        </w:rPr>
        <w:t>, 1974, 21/3, p. 401-418 (disponible sur Persée).</w:t>
      </w:r>
    </w:p>
    <w:p w14:paraId="4C8B3756" w14:textId="77777777" w:rsidR="00DE7722" w:rsidRPr="00FE5AF7" w:rsidRDefault="00DE7722" w:rsidP="00DE7722">
      <w:pPr>
        <w:pStyle w:val="Biblio"/>
        <w:rPr>
          <w:sz w:val="20"/>
          <w:lang w:eastAsia="fr-FR"/>
        </w:rPr>
      </w:pPr>
      <w:r w:rsidRPr="00FE5AF7">
        <w:rPr>
          <w:smallCaps/>
          <w:sz w:val="20"/>
          <w:lang w:eastAsia="fr-FR"/>
        </w:rPr>
        <w:t>Gutton</w:t>
      </w:r>
      <w:r w:rsidRPr="00FE5AF7">
        <w:rPr>
          <w:sz w:val="20"/>
          <w:lang w:eastAsia="fr-FR"/>
        </w:rPr>
        <w:t xml:space="preserve">, Jean-Pierre, « Mendiants et vagabonds », dans Lucien </w:t>
      </w:r>
      <w:proofErr w:type="spellStart"/>
      <w:r w:rsidRPr="00FE5AF7">
        <w:rPr>
          <w:smallCaps/>
          <w:sz w:val="20"/>
          <w:lang w:eastAsia="fr-FR"/>
        </w:rPr>
        <w:t>Bély</w:t>
      </w:r>
      <w:proofErr w:type="spellEnd"/>
      <w:r w:rsidRPr="00FE5AF7">
        <w:rPr>
          <w:sz w:val="20"/>
          <w:lang w:eastAsia="fr-FR"/>
        </w:rPr>
        <w:t xml:space="preserve"> (dir.), </w:t>
      </w:r>
      <w:r w:rsidRPr="00FE5AF7">
        <w:rPr>
          <w:i/>
          <w:sz w:val="20"/>
          <w:lang w:eastAsia="fr-FR"/>
        </w:rPr>
        <w:t>Dictionnaire de l’Ancien Régime</w:t>
      </w:r>
      <w:r w:rsidRPr="00FE5AF7">
        <w:rPr>
          <w:sz w:val="20"/>
          <w:lang w:eastAsia="fr-FR"/>
        </w:rPr>
        <w:t>, Paris, Presses universitaires de France, 1996, p. 815-816.</w:t>
      </w:r>
    </w:p>
    <w:p w14:paraId="13D6A953" w14:textId="77777777" w:rsidR="00330041" w:rsidRPr="00FE5AF7" w:rsidRDefault="00FE5AF7" w:rsidP="00DE7722">
      <w:pPr>
        <w:pStyle w:val="Biblio"/>
        <w:rPr>
          <w:sz w:val="20"/>
          <w:lang w:eastAsia="fr-FR"/>
        </w:rPr>
      </w:pPr>
      <w:r>
        <w:rPr>
          <w:smallCaps/>
          <w:sz w:val="20"/>
          <w:lang w:eastAsia="fr-FR"/>
        </w:rPr>
        <w:t>--</w:t>
      </w:r>
      <w:r w:rsidR="00330041" w:rsidRPr="00FE5AF7">
        <w:rPr>
          <w:sz w:val="20"/>
          <w:lang w:eastAsia="fr-FR"/>
        </w:rPr>
        <w:t xml:space="preserve">, </w:t>
      </w:r>
      <w:r>
        <w:rPr>
          <w:i/>
          <w:sz w:val="20"/>
          <w:lang w:eastAsia="fr-FR"/>
        </w:rPr>
        <w:t>La société et les pauvres en Europe (XVIe – XVIIIe siècles</w:t>
      </w:r>
      <w:r>
        <w:rPr>
          <w:sz w:val="20"/>
          <w:lang w:eastAsia="fr-FR"/>
        </w:rPr>
        <w:t>, Paris, Presses universitaires de France, 1974</w:t>
      </w:r>
      <w:r w:rsidR="00A41A6C" w:rsidRPr="00FE5AF7">
        <w:rPr>
          <w:sz w:val="20"/>
          <w:lang w:eastAsia="fr-FR"/>
        </w:rPr>
        <w:t xml:space="preserve">. </w:t>
      </w:r>
    </w:p>
    <w:p w14:paraId="2D2A88C8" w14:textId="77777777" w:rsidR="00DE7722" w:rsidRPr="00FE5AF7" w:rsidRDefault="00A41A6C" w:rsidP="00DE7722">
      <w:pPr>
        <w:pStyle w:val="Biblio"/>
        <w:rPr>
          <w:sz w:val="20"/>
          <w:lang w:eastAsia="fr-FR"/>
        </w:rPr>
      </w:pPr>
      <w:r w:rsidRPr="00FE5AF7">
        <w:rPr>
          <w:smallCaps/>
          <w:sz w:val="20"/>
          <w:lang w:eastAsia="fr-FR"/>
        </w:rPr>
        <w:t>Viret</w:t>
      </w:r>
      <w:r w:rsidRPr="00FE5AF7">
        <w:rPr>
          <w:sz w:val="20"/>
          <w:lang w:eastAsia="fr-FR"/>
        </w:rPr>
        <w:t xml:space="preserve">, Jérôme-Luther, « Vagabonds et mendiants dans les campagnes au nord de Paris dans le premier tiers du XVIIIe siècle », </w:t>
      </w:r>
      <w:r w:rsidRPr="00FE5AF7">
        <w:rPr>
          <w:i/>
          <w:sz w:val="20"/>
          <w:lang w:eastAsia="fr-FR"/>
        </w:rPr>
        <w:t>Annales de démographie historique</w:t>
      </w:r>
      <w:r w:rsidRPr="00FE5AF7">
        <w:rPr>
          <w:sz w:val="20"/>
          <w:lang w:eastAsia="fr-FR"/>
        </w:rPr>
        <w:t xml:space="preserve">, 2006, 111/1, p. 7-30 (disponible sur Cairn). </w:t>
      </w:r>
    </w:p>
    <w:p w14:paraId="53CE19E7" w14:textId="77777777" w:rsidR="001C2B3A" w:rsidRPr="00ED4C6C" w:rsidRDefault="001C2B3A" w:rsidP="00FE5AF7">
      <w:pPr>
        <w:pStyle w:val="Sansinterligne"/>
        <w:spacing w:after="120"/>
        <w:rPr>
          <w:szCs w:val="22"/>
          <w:lang w:eastAsia="fr-FR"/>
        </w:rPr>
      </w:pPr>
      <w:r w:rsidRPr="00ED4C6C">
        <w:rPr>
          <w:szCs w:val="22"/>
          <w:lang w:eastAsia="fr-FR"/>
        </w:rPr>
        <w:t xml:space="preserve">Annexes </w:t>
      </w:r>
    </w:p>
    <w:p w14:paraId="24C48411" w14:textId="77777777" w:rsidR="00F375E3" w:rsidRPr="00ED4C6C" w:rsidRDefault="00F375E3" w:rsidP="00FE5AF7">
      <w:pPr>
        <w:pStyle w:val="Sansinterligne"/>
        <w:spacing w:before="120" w:after="180"/>
        <w:rPr>
          <w:szCs w:val="22"/>
          <w:lang w:eastAsia="fr-FR"/>
        </w:rPr>
      </w:pPr>
      <w:r w:rsidRPr="00ED4C6C">
        <w:rPr>
          <w:szCs w:val="22"/>
          <w:lang w:eastAsia="fr-FR"/>
        </w:rPr>
        <w:t xml:space="preserve">1. </w:t>
      </w:r>
      <w:r w:rsidR="00271591" w:rsidRPr="00ED4C6C">
        <w:rPr>
          <w:szCs w:val="22"/>
          <w:lang w:eastAsia="fr-FR"/>
        </w:rPr>
        <w:t xml:space="preserve">Les mots de l’assistance, de la mendicité et du vagabondage </w:t>
      </w:r>
      <w:r w:rsidRPr="00ED4C6C">
        <w:rPr>
          <w:szCs w:val="22"/>
          <w:lang w:eastAsia="fr-FR"/>
        </w:rPr>
        <w:t xml:space="preserve"> </w:t>
      </w:r>
    </w:p>
    <w:p w14:paraId="220B4F27" w14:textId="77777777" w:rsidR="00271591" w:rsidRPr="00271591" w:rsidRDefault="00271591" w:rsidP="007B069E">
      <w:pPr>
        <w:rPr>
          <w:rFonts w:cs="Times New Roman"/>
          <w:szCs w:val="22"/>
          <w:lang w:eastAsia="fr-FR"/>
        </w:rPr>
      </w:pPr>
      <w:r>
        <w:rPr>
          <w:rFonts w:cs="Times New Roman"/>
          <w:szCs w:val="22"/>
          <w:lang w:eastAsia="fr-FR"/>
        </w:rPr>
        <w:t>« </w:t>
      </w:r>
      <w:r>
        <w:rPr>
          <w:rFonts w:cs="Times New Roman"/>
          <w:i/>
          <w:szCs w:val="22"/>
          <w:lang w:eastAsia="fr-FR"/>
        </w:rPr>
        <w:t>H</w:t>
      </w:r>
      <w:r w:rsidR="006E2467">
        <w:rPr>
          <w:rFonts w:cs="Times New Roman"/>
          <w:i/>
          <w:szCs w:val="22"/>
          <w:lang w:eastAsia="fr-FR"/>
        </w:rPr>
        <w:t>ô</w:t>
      </w:r>
      <w:r>
        <w:rPr>
          <w:rFonts w:cs="Times New Roman"/>
          <w:i/>
          <w:szCs w:val="22"/>
          <w:lang w:eastAsia="fr-FR"/>
        </w:rPr>
        <w:t>pital</w:t>
      </w:r>
      <w:r>
        <w:rPr>
          <w:rFonts w:cs="Times New Roman"/>
          <w:szCs w:val="22"/>
          <w:lang w:eastAsia="fr-FR"/>
        </w:rPr>
        <w:t xml:space="preserve">. </w:t>
      </w:r>
      <w:r w:rsidR="007B069E" w:rsidRPr="007B069E">
        <w:rPr>
          <w:rFonts w:cs="Times New Roman"/>
          <w:szCs w:val="22"/>
          <w:lang w:eastAsia="fr-FR"/>
        </w:rPr>
        <w:t>Lieu pieux &amp; charitable où on reçoit les pauvres pour les soulager en leurs n</w:t>
      </w:r>
      <w:r w:rsidR="007B069E">
        <w:rPr>
          <w:rFonts w:cs="Times New Roman"/>
          <w:szCs w:val="22"/>
          <w:lang w:eastAsia="fr-FR"/>
        </w:rPr>
        <w:t>é</w:t>
      </w:r>
      <w:r w:rsidR="007B069E" w:rsidRPr="007B069E">
        <w:rPr>
          <w:rFonts w:cs="Times New Roman"/>
          <w:szCs w:val="22"/>
          <w:lang w:eastAsia="fr-FR"/>
        </w:rPr>
        <w:t>cessit</w:t>
      </w:r>
      <w:r w:rsidR="007B069E">
        <w:rPr>
          <w:rFonts w:cs="Times New Roman"/>
          <w:szCs w:val="22"/>
          <w:lang w:eastAsia="fr-FR"/>
        </w:rPr>
        <w:t>és</w:t>
      </w:r>
      <w:r w:rsidR="007B069E" w:rsidRPr="007B069E">
        <w:rPr>
          <w:rFonts w:cs="Times New Roman"/>
          <w:szCs w:val="22"/>
          <w:lang w:eastAsia="fr-FR"/>
        </w:rPr>
        <w:t>. L'h</w:t>
      </w:r>
      <w:r w:rsidR="007B069E">
        <w:rPr>
          <w:rFonts w:cs="Times New Roman"/>
          <w:szCs w:val="22"/>
          <w:lang w:eastAsia="fr-FR"/>
        </w:rPr>
        <w:t>ô</w:t>
      </w:r>
      <w:r w:rsidR="007B069E" w:rsidRPr="007B069E">
        <w:rPr>
          <w:rFonts w:cs="Times New Roman"/>
          <w:szCs w:val="22"/>
          <w:lang w:eastAsia="fr-FR"/>
        </w:rPr>
        <w:t>pital g</w:t>
      </w:r>
      <w:r w:rsidR="007B069E">
        <w:rPr>
          <w:rFonts w:cs="Times New Roman"/>
          <w:szCs w:val="22"/>
          <w:lang w:eastAsia="fr-FR"/>
        </w:rPr>
        <w:t>é</w:t>
      </w:r>
      <w:r w:rsidR="007B069E" w:rsidRPr="007B069E">
        <w:rPr>
          <w:rFonts w:cs="Times New Roman"/>
          <w:szCs w:val="22"/>
          <w:lang w:eastAsia="fr-FR"/>
        </w:rPr>
        <w:t>n</w:t>
      </w:r>
      <w:r w:rsidR="007B069E">
        <w:rPr>
          <w:rFonts w:cs="Times New Roman"/>
          <w:szCs w:val="22"/>
          <w:lang w:eastAsia="fr-FR"/>
        </w:rPr>
        <w:t>é</w:t>
      </w:r>
      <w:r w:rsidR="007B069E" w:rsidRPr="007B069E">
        <w:rPr>
          <w:rFonts w:cs="Times New Roman"/>
          <w:szCs w:val="22"/>
          <w:lang w:eastAsia="fr-FR"/>
        </w:rPr>
        <w:t>ral est celu</w:t>
      </w:r>
      <w:r w:rsidR="007B069E">
        <w:rPr>
          <w:rFonts w:cs="Times New Roman"/>
          <w:szCs w:val="22"/>
          <w:lang w:eastAsia="fr-FR"/>
        </w:rPr>
        <w:t>i</w:t>
      </w:r>
      <w:r w:rsidR="007B069E" w:rsidRPr="007B069E">
        <w:rPr>
          <w:rFonts w:cs="Times New Roman"/>
          <w:szCs w:val="22"/>
          <w:lang w:eastAsia="fr-FR"/>
        </w:rPr>
        <w:t xml:space="preserve"> où on reçoit tous les mendiants. L'H</w:t>
      </w:r>
      <w:r w:rsidR="007B069E">
        <w:rPr>
          <w:rFonts w:cs="Times New Roman"/>
          <w:szCs w:val="22"/>
          <w:lang w:eastAsia="fr-FR"/>
        </w:rPr>
        <w:t>ô</w:t>
      </w:r>
      <w:r w:rsidR="007B069E" w:rsidRPr="007B069E">
        <w:rPr>
          <w:rFonts w:cs="Times New Roman"/>
          <w:szCs w:val="22"/>
          <w:lang w:eastAsia="fr-FR"/>
        </w:rPr>
        <w:t>tel Dieu est l'h</w:t>
      </w:r>
      <w:r w:rsidR="007B069E">
        <w:rPr>
          <w:rFonts w:cs="Times New Roman"/>
          <w:szCs w:val="22"/>
          <w:lang w:eastAsia="fr-FR"/>
        </w:rPr>
        <w:t>ô</w:t>
      </w:r>
      <w:r w:rsidR="007B069E" w:rsidRPr="007B069E">
        <w:rPr>
          <w:rFonts w:cs="Times New Roman"/>
          <w:szCs w:val="22"/>
          <w:lang w:eastAsia="fr-FR"/>
        </w:rPr>
        <w:t>pital de tous les malades. Les Petites Maisons c'est l'h</w:t>
      </w:r>
      <w:r w:rsidR="007B069E">
        <w:rPr>
          <w:rFonts w:cs="Times New Roman"/>
          <w:szCs w:val="22"/>
          <w:lang w:eastAsia="fr-FR"/>
        </w:rPr>
        <w:t>ô</w:t>
      </w:r>
      <w:r w:rsidR="007B069E" w:rsidRPr="007B069E">
        <w:rPr>
          <w:rFonts w:cs="Times New Roman"/>
          <w:szCs w:val="22"/>
          <w:lang w:eastAsia="fr-FR"/>
        </w:rPr>
        <w:t xml:space="preserve">pital des fous. Les </w:t>
      </w:r>
      <w:r w:rsidR="007B069E">
        <w:rPr>
          <w:rFonts w:cs="Times New Roman"/>
          <w:szCs w:val="22"/>
          <w:lang w:eastAsia="fr-FR"/>
        </w:rPr>
        <w:t>enfants</w:t>
      </w:r>
      <w:r w:rsidR="007B069E" w:rsidRPr="007B069E">
        <w:rPr>
          <w:rFonts w:cs="Times New Roman"/>
          <w:szCs w:val="22"/>
          <w:lang w:eastAsia="fr-FR"/>
        </w:rPr>
        <w:t xml:space="preserve"> rouges, les enfants bleus, du St. Esprit, de la Trinité, sont des h</w:t>
      </w:r>
      <w:r w:rsidR="007B069E">
        <w:rPr>
          <w:rFonts w:cs="Times New Roman"/>
          <w:szCs w:val="22"/>
          <w:lang w:eastAsia="fr-FR"/>
        </w:rPr>
        <w:t>ô</w:t>
      </w:r>
      <w:r w:rsidR="007B069E" w:rsidRPr="007B069E">
        <w:rPr>
          <w:rFonts w:cs="Times New Roman"/>
          <w:szCs w:val="22"/>
          <w:lang w:eastAsia="fr-FR"/>
        </w:rPr>
        <w:t>pitaux pour les or</w:t>
      </w:r>
      <w:r w:rsidR="007B069E">
        <w:rPr>
          <w:rFonts w:cs="Times New Roman"/>
          <w:szCs w:val="22"/>
          <w:lang w:eastAsia="fr-FR"/>
        </w:rPr>
        <w:t>ph</w:t>
      </w:r>
      <w:r w:rsidR="007B069E" w:rsidRPr="007B069E">
        <w:rPr>
          <w:rFonts w:cs="Times New Roman"/>
          <w:szCs w:val="22"/>
          <w:lang w:eastAsia="fr-FR"/>
        </w:rPr>
        <w:t>elins. Les Quinze-vin</w:t>
      </w:r>
      <w:r w:rsidR="007B069E">
        <w:rPr>
          <w:rFonts w:cs="Times New Roman"/>
          <w:szCs w:val="22"/>
          <w:lang w:eastAsia="fr-FR"/>
        </w:rPr>
        <w:t>g</w:t>
      </w:r>
      <w:r w:rsidR="007B069E" w:rsidRPr="007B069E">
        <w:rPr>
          <w:rFonts w:cs="Times New Roman"/>
          <w:szCs w:val="22"/>
          <w:lang w:eastAsia="fr-FR"/>
        </w:rPr>
        <w:t>t c</w:t>
      </w:r>
      <w:r w:rsidR="007B069E">
        <w:rPr>
          <w:rFonts w:cs="Times New Roman"/>
          <w:szCs w:val="22"/>
          <w:lang w:eastAsia="fr-FR"/>
        </w:rPr>
        <w:t>’</w:t>
      </w:r>
      <w:r w:rsidR="007B069E" w:rsidRPr="007B069E">
        <w:rPr>
          <w:rFonts w:cs="Times New Roman"/>
          <w:szCs w:val="22"/>
          <w:lang w:eastAsia="fr-FR"/>
        </w:rPr>
        <w:t>est l'h</w:t>
      </w:r>
      <w:r w:rsidR="007B069E">
        <w:rPr>
          <w:rFonts w:cs="Times New Roman"/>
          <w:szCs w:val="22"/>
          <w:lang w:eastAsia="fr-FR"/>
        </w:rPr>
        <w:t>ô</w:t>
      </w:r>
      <w:r w:rsidR="007B069E" w:rsidRPr="007B069E">
        <w:rPr>
          <w:rFonts w:cs="Times New Roman"/>
          <w:szCs w:val="22"/>
          <w:lang w:eastAsia="fr-FR"/>
        </w:rPr>
        <w:t>pital des aveugles. St. Jacques de l'h</w:t>
      </w:r>
      <w:r w:rsidR="007B069E">
        <w:rPr>
          <w:rFonts w:cs="Times New Roman"/>
          <w:szCs w:val="22"/>
          <w:lang w:eastAsia="fr-FR"/>
        </w:rPr>
        <w:t>ô</w:t>
      </w:r>
      <w:r w:rsidR="007B069E" w:rsidRPr="007B069E">
        <w:rPr>
          <w:rFonts w:cs="Times New Roman"/>
          <w:szCs w:val="22"/>
          <w:lang w:eastAsia="fr-FR"/>
        </w:rPr>
        <w:t xml:space="preserve">pital est destiné pour les </w:t>
      </w:r>
      <w:r w:rsidR="007B069E">
        <w:rPr>
          <w:rFonts w:cs="Times New Roman"/>
          <w:szCs w:val="22"/>
          <w:lang w:eastAsia="fr-FR"/>
        </w:rPr>
        <w:t>Pèlerins</w:t>
      </w:r>
      <w:r w:rsidR="007B069E" w:rsidRPr="007B069E">
        <w:rPr>
          <w:rFonts w:cs="Times New Roman"/>
          <w:szCs w:val="22"/>
          <w:lang w:eastAsia="fr-FR"/>
        </w:rPr>
        <w:t xml:space="preserve"> de St. Jacques. L'h</w:t>
      </w:r>
      <w:r w:rsidR="007B069E">
        <w:rPr>
          <w:rFonts w:cs="Times New Roman"/>
          <w:szCs w:val="22"/>
          <w:lang w:eastAsia="fr-FR"/>
        </w:rPr>
        <w:t>ô</w:t>
      </w:r>
      <w:r w:rsidR="007B069E" w:rsidRPr="007B069E">
        <w:rPr>
          <w:rFonts w:cs="Times New Roman"/>
          <w:szCs w:val="22"/>
          <w:lang w:eastAsia="fr-FR"/>
        </w:rPr>
        <w:t>pital du St. Esprit de Vienne est un tr</w:t>
      </w:r>
      <w:r w:rsidR="007B069E">
        <w:rPr>
          <w:rFonts w:cs="Times New Roman"/>
          <w:szCs w:val="22"/>
          <w:lang w:eastAsia="fr-FR"/>
        </w:rPr>
        <w:t>è</w:t>
      </w:r>
      <w:r w:rsidR="007B069E" w:rsidRPr="007B069E">
        <w:rPr>
          <w:rFonts w:cs="Times New Roman"/>
          <w:szCs w:val="22"/>
          <w:lang w:eastAsia="fr-FR"/>
        </w:rPr>
        <w:t>s</w:t>
      </w:r>
      <w:r w:rsidR="007B069E">
        <w:rPr>
          <w:rFonts w:cs="Times New Roman"/>
          <w:szCs w:val="22"/>
          <w:lang w:eastAsia="fr-FR"/>
        </w:rPr>
        <w:t xml:space="preserve"> </w:t>
      </w:r>
      <w:r w:rsidR="007B069E" w:rsidRPr="007B069E">
        <w:rPr>
          <w:rFonts w:cs="Times New Roman"/>
          <w:szCs w:val="22"/>
          <w:lang w:eastAsia="fr-FR"/>
        </w:rPr>
        <w:t>fameux h</w:t>
      </w:r>
      <w:r w:rsidR="007B069E">
        <w:rPr>
          <w:rFonts w:cs="Times New Roman"/>
          <w:szCs w:val="22"/>
          <w:lang w:eastAsia="fr-FR"/>
        </w:rPr>
        <w:t>ô</w:t>
      </w:r>
      <w:r w:rsidR="007B069E" w:rsidRPr="007B069E">
        <w:rPr>
          <w:rFonts w:cs="Times New Roman"/>
          <w:szCs w:val="22"/>
          <w:lang w:eastAsia="fr-FR"/>
        </w:rPr>
        <w:t>pital.</w:t>
      </w:r>
    </w:p>
    <w:p w14:paraId="26E84FE1" w14:textId="77777777" w:rsidR="00F375E3" w:rsidRPr="007F0821" w:rsidRDefault="001945E2" w:rsidP="00F375E3">
      <w:pPr>
        <w:rPr>
          <w:rFonts w:cs="Times New Roman"/>
          <w:szCs w:val="22"/>
          <w:lang w:eastAsia="fr-FR"/>
        </w:rPr>
      </w:pPr>
      <w:r w:rsidRPr="007F0821">
        <w:rPr>
          <w:rFonts w:cs="Times New Roman"/>
          <w:szCs w:val="22"/>
          <w:lang w:eastAsia="fr-FR"/>
        </w:rPr>
        <w:t>« </w:t>
      </w:r>
      <w:r w:rsidR="00B304F9" w:rsidRPr="007F0821">
        <w:rPr>
          <w:rFonts w:cs="Times New Roman"/>
          <w:i/>
          <w:szCs w:val="22"/>
          <w:lang w:eastAsia="fr-FR"/>
        </w:rPr>
        <w:t>Mendiant</w:t>
      </w:r>
      <w:r w:rsidR="00B304F9" w:rsidRPr="007F0821">
        <w:rPr>
          <w:rFonts w:cs="Times New Roman"/>
          <w:szCs w:val="22"/>
          <w:lang w:eastAsia="fr-FR"/>
        </w:rPr>
        <w:t>. Gueux qui demande l’aumône. On a fait un Hôpital général pour y enfermer tous les gueux mendiants. Les gueux qui sont effectivement mendiants ne sont point compris au rôle des tailles</w:t>
      </w:r>
      <w:r w:rsidRPr="007F0821">
        <w:rPr>
          <w:rFonts w:cs="Times New Roman"/>
          <w:szCs w:val="22"/>
          <w:lang w:eastAsia="fr-FR"/>
        </w:rPr>
        <w:t> ».</w:t>
      </w:r>
    </w:p>
    <w:p w14:paraId="394D33DE" w14:textId="77777777" w:rsidR="00B304F9" w:rsidRPr="007F0821" w:rsidRDefault="001945E2" w:rsidP="00B304F9">
      <w:pPr>
        <w:rPr>
          <w:rFonts w:cs="Times New Roman"/>
          <w:szCs w:val="22"/>
          <w:lang w:eastAsia="fr-FR"/>
        </w:rPr>
      </w:pPr>
      <w:r w:rsidRPr="007F0821">
        <w:rPr>
          <w:rFonts w:cs="Times New Roman"/>
          <w:szCs w:val="22"/>
          <w:lang w:eastAsia="fr-FR"/>
        </w:rPr>
        <w:t>« </w:t>
      </w:r>
      <w:r w:rsidR="00B304F9" w:rsidRPr="007F0821">
        <w:rPr>
          <w:rFonts w:cs="Times New Roman"/>
          <w:i/>
          <w:szCs w:val="22"/>
          <w:lang w:eastAsia="fr-FR"/>
        </w:rPr>
        <w:t>Vagabond</w:t>
      </w:r>
      <w:r w:rsidR="00B304F9" w:rsidRPr="007F0821">
        <w:rPr>
          <w:rFonts w:cs="Times New Roman"/>
          <w:szCs w:val="22"/>
          <w:lang w:eastAsia="fr-FR"/>
        </w:rPr>
        <w:t xml:space="preserve">. Qui erre çà et là, qui n'a point de route, de demeure certaine. </w:t>
      </w:r>
      <w:r w:rsidR="00CA3988" w:rsidRPr="007F0821">
        <w:rPr>
          <w:rFonts w:cs="Times New Roman"/>
          <w:szCs w:val="22"/>
          <w:lang w:eastAsia="fr-FR"/>
        </w:rPr>
        <w:t>[…]</w:t>
      </w:r>
      <w:r w:rsidR="00B304F9" w:rsidRPr="007F0821">
        <w:rPr>
          <w:rFonts w:cs="Times New Roman"/>
          <w:szCs w:val="22"/>
          <w:lang w:eastAsia="fr-FR"/>
        </w:rPr>
        <w:t>. Les Bohémiens sont des gueux errants</w:t>
      </w:r>
      <w:r w:rsidR="00CA3988" w:rsidRPr="007F0821">
        <w:rPr>
          <w:rFonts w:cs="Times New Roman"/>
          <w:szCs w:val="22"/>
          <w:lang w:eastAsia="fr-FR"/>
        </w:rPr>
        <w:t xml:space="preserve"> </w:t>
      </w:r>
      <w:r w:rsidR="00B304F9" w:rsidRPr="007F0821">
        <w:rPr>
          <w:rFonts w:cs="Times New Roman"/>
          <w:szCs w:val="22"/>
          <w:lang w:eastAsia="fr-FR"/>
        </w:rPr>
        <w:t>&amp; </w:t>
      </w:r>
      <w:r w:rsidR="00B304F9" w:rsidRPr="007F0821">
        <w:rPr>
          <w:rFonts w:cs="Times New Roman"/>
          <w:i/>
          <w:iCs/>
          <w:szCs w:val="22"/>
          <w:lang w:eastAsia="fr-FR"/>
        </w:rPr>
        <w:t>vagabonds.</w:t>
      </w:r>
      <w:r w:rsidR="00B304F9" w:rsidRPr="007F0821">
        <w:rPr>
          <w:rFonts w:cs="Times New Roman"/>
          <w:szCs w:val="22"/>
          <w:lang w:eastAsia="fr-FR"/>
        </w:rPr>
        <w:t> […]</w:t>
      </w:r>
      <w:r w:rsidR="00B304F9" w:rsidRPr="007F0821">
        <w:rPr>
          <w:rFonts w:cs="Times New Roman"/>
          <w:i/>
          <w:iCs/>
          <w:szCs w:val="22"/>
          <w:lang w:eastAsia="fr-FR"/>
        </w:rPr>
        <w:t>.</w:t>
      </w:r>
      <w:r w:rsidR="00B304F9" w:rsidRPr="007F0821">
        <w:rPr>
          <w:rFonts w:cs="Times New Roman"/>
          <w:szCs w:val="22"/>
          <w:lang w:eastAsia="fr-FR"/>
        </w:rPr>
        <w:t> L'Ordonnance veut que les Prévôts se saisissent des fainéants, </w:t>
      </w:r>
      <w:r w:rsidR="00B304F9" w:rsidRPr="007F0821">
        <w:rPr>
          <w:rFonts w:cs="Times New Roman"/>
          <w:i/>
          <w:iCs/>
          <w:szCs w:val="22"/>
          <w:lang w:eastAsia="fr-FR"/>
        </w:rPr>
        <w:t>vagabonds</w:t>
      </w:r>
      <w:r w:rsidR="00B304F9" w:rsidRPr="007F0821">
        <w:rPr>
          <w:rFonts w:cs="Times New Roman"/>
          <w:szCs w:val="22"/>
          <w:lang w:eastAsia="fr-FR"/>
        </w:rPr>
        <w:t> &amp; essorillez, qui n'ont ni feu, ni lieu, &amp; qu'ils les envoient aux galères. Elle veut aussi qu'on chasse les </w:t>
      </w:r>
      <w:r w:rsidR="00B304F9" w:rsidRPr="007F0821">
        <w:rPr>
          <w:rFonts w:cs="Times New Roman"/>
          <w:i/>
          <w:iCs/>
          <w:szCs w:val="22"/>
          <w:lang w:eastAsia="fr-FR"/>
        </w:rPr>
        <w:t>vagabonds</w:t>
      </w:r>
      <w:r w:rsidR="00B304F9" w:rsidRPr="007F0821">
        <w:rPr>
          <w:rFonts w:cs="Times New Roman"/>
          <w:szCs w:val="22"/>
          <w:lang w:eastAsia="fr-FR"/>
        </w:rPr>
        <w:t> des forêts.</w:t>
      </w:r>
      <w:r w:rsidRPr="007F0821">
        <w:rPr>
          <w:rFonts w:cs="Times New Roman"/>
          <w:szCs w:val="22"/>
          <w:lang w:eastAsia="fr-FR"/>
        </w:rPr>
        <w:t> »</w:t>
      </w:r>
    </w:p>
    <w:p w14:paraId="61CBB047" w14:textId="77777777" w:rsidR="00B304F9" w:rsidRPr="00C7670E" w:rsidRDefault="00AF7B14" w:rsidP="00C7670E">
      <w:pPr>
        <w:jc w:val="right"/>
        <w:rPr>
          <w:sz w:val="20"/>
          <w:lang w:eastAsia="fr-FR"/>
        </w:rPr>
      </w:pPr>
      <w:r w:rsidRPr="00C7670E">
        <w:rPr>
          <w:sz w:val="20"/>
          <w:lang w:eastAsia="fr-FR"/>
        </w:rPr>
        <w:t xml:space="preserve">Antoine </w:t>
      </w:r>
      <w:r w:rsidRPr="00C7670E">
        <w:rPr>
          <w:smallCaps/>
          <w:sz w:val="20"/>
          <w:lang w:eastAsia="fr-FR"/>
        </w:rPr>
        <w:t>Furet</w:t>
      </w:r>
      <w:r w:rsidR="00C7670E" w:rsidRPr="00C7670E">
        <w:rPr>
          <w:smallCaps/>
          <w:sz w:val="20"/>
          <w:lang w:eastAsia="fr-FR"/>
        </w:rPr>
        <w:t>i</w:t>
      </w:r>
      <w:r w:rsidRPr="00C7670E">
        <w:rPr>
          <w:smallCaps/>
          <w:sz w:val="20"/>
          <w:lang w:eastAsia="fr-FR"/>
        </w:rPr>
        <w:t>ère</w:t>
      </w:r>
      <w:r w:rsidRPr="00C7670E">
        <w:rPr>
          <w:sz w:val="20"/>
          <w:lang w:eastAsia="fr-FR"/>
        </w:rPr>
        <w:t xml:space="preserve">, </w:t>
      </w:r>
      <w:r w:rsidRPr="00C7670E">
        <w:rPr>
          <w:i/>
          <w:sz w:val="20"/>
          <w:lang w:eastAsia="fr-FR"/>
        </w:rPr>
        <w:t>Dictionnaire universel</w:t>
      </w:r>
      <w:r w:rsidR="00C7670E" w:rsidRPr="00C7670E">
        <w:rPr>
          <w:i/>
          <w:sz w:val="20"/>
          <w:lang w:eastAsia="fr-FR"/>
        </w:rPr>
        <w:t xml:space="preserve">, contenant tous les mots </w:t>
      </w:r>
      <w:proofErr w:type="spellStart"/>
      <w:r w:rsidR="00C7670E" w:rsidRPr="00C7670E">
        <w:rPr>
          <w:i/>
          <w:sz w:val="20"/>
          <w:lang w:eastAsia="fr-FR"/>
        </w:rPr>
        <w:t>françoys</w:t>
      </w:r>
      <w:proofErr w:type="spellEnd"/>
      <w:r w:rsidR="00C7670E" w:rsidRPr="00C7670E">
        <w:rPr>
          <w:i/>
          <w:sz w:val="20"/>
          <w:lang w:eastAsia="fr-FR"/>
        </w:rPr>
        <w:t>…</w:t>
      </w:r>
      <w:r w:rsidRPr="00C7670E">
        <w:rPr>
          <w:sz w:val="20"/>
          <w:lang w:eastAsia="fr-FR"/>
        </w:rPr>
        <w:t>,</w:t>
      </w:r>
      <w:r w:rsidR="00C7670E" w:rsidRPr="00C7670E">
        <w:rPr>
          <w:sz w:val="20"/>
          <w:lang w:eastAsia="fr-FR"/>
        </w:rPr>
        <w:t xml:space="preserve"> </w:t>
      </w:r>
      <w:r w:rsidR="00C7670E" w:rsidRPr="00C7670E">
        <w:rPr>
          <w:sz w:val="20"/>
          <w:lang w:eastAsia="fr-FR"/>
        </w:rPr>
        <w:br/>
        <w:t xml:space="preserve">s. l., Chez </w:t>
      </w:r>
      <w:proofErr w:type="spellStart"/>
      <w:r w:rsidR="00C7670E" w:rsidRPr="00C7670E">
        <w:rPr>
          <w:sz w:val="20"/>
          <w:lang w:eastAsia="fr-FR"/>
        </w:rPr>
        <w:t>Arnout</w:t>
      </w:r>
      <w:proofErr w:type="spellEnd"/>
      <w:r w:rsidR="00C7670E" w:rsidRPr="00C7670E">
        <w:rPr>
          <w:sz w:val="20"/>
          <w:lang w:eastAsia="fr-FR"/>
        </w:rPr>
        <w:t xml:space="preserve"> &amp; </w:t>
      </w:r>
      <w:proofErr w:type="spellStart"/>
      <w:r w:rsidR="00C7670E" w:rsidRPr="00C7670E">
        <w:rPr>
          <w:sz w:val="20"/>
          <w:lang w:eastAsia="fr-FR"/>
        </w:rPr>
        <w:t>Reinier</w:t>
      </w:r>
      <w:proofErr w:type="spellEnd"/>
      <w:r w:rsidR="00C7670E" w:rsidRPr="00C7670E">
        <w:rPr>
          <w:sz w:val="20"/>
          <w:lang w:eastAsia="fr-FR"/>
        </w:rPr>
        <w:t xml:space="preserve"> Leers</w:t>
      </w:r>
      <w:r w:rsidRPr="00C7670E">
        <w:rPr>
          <w:sz w:val="20"/>
          <w:lang w:eastAsia="fr-FR"/>
        </w:rPr>
        <w:t xml:space="preserve"> 1690, </w:t>
      </w:r>
      <w:r w:rsidR="00C7670E" w:rsidRPr="00C7670E">
        <w:rPr>
          <w:sz w:val="20"/>
          <w:lang w:eastAsia="fr-FR"/>
        </w:rPr>
        <w:t xml:space="preserve">vol. </w:t>
      </w:r>
      <w:r w:rsidR="00FC07DB">
        <w:rPr>
          <w:sz w:val="20"/>
          <w:lang w:eastAsia="fr-FR"/>
        </w:rPr>
        <w:t xml:space="preserve">1 et </w:t>
      </w:r>
      <w:r w:rsidR="00C7670E" w:rsidRPr="00C7670E">
        <w:rPr>
          <w:sz w:val="20"/>
          <w:lang w:eastAsia="fr-FR"/>
        </w:rPr>
        <w:t>2, n. p. et vol. 3, p. 765</w:t>
      </w:r>
      <w:r w:rsidR="006E2467">
        <w:rPr>
          <w:sz w:val="20"/>
          <w:lang w:eastAsia="fr-FR"/>
        </w:rPr>
        <w:t xml:space="preserve"> (moyen français modernisé)</w:t>
      </w:r>
      <w:r w:rsidR="00C7670E" w:rsidRPr="00C7670E">
        <w:rPr>
          <w:sz w:val="20"/>
          <w:lang w:eastAsia="fr-FR"/>
        </w:rPr>
        <w:t xml:space="preserve">. </w:t>
      </w:r>
    </w:p>
    <w:p w14:paraId="5E366B75" w14:textId="77777777" w:rsidR="00AF7B14" w:rsidRDefault="00AF7B14" w:rsidP="00FE5AF7">
      <w:pPr>
        <w:pStyle w:val="Sansinterligne"/>
        <w:spacing w:before="180" w:after="180"/>
        <w:rPr>
          <w:lang w:eastAsia="fr-FR"/>
        </w:rPr>
      </w:pPr>
      <w:r>
        <w:rPr>
          <w:lang w:eastAsia="fr-FR"/>
        </w:rPr>
        <w:t xml:space="preserve">2. Gérer la mendicité à l’époque moderne </w:t>
      </w:r>
    </w:p>
    <w:p w14:paraId="68C55546" w14:textId="77777777" w:rsidR="00AF7B14" w:rsidRPr="007F0821" w:rsidRDefault="0074408E" w:rsidP="00AF7B14">
      <w:pPr>
        <w:rPr>
          <w:rFonts w:cs="Times New Roman"/>
          <w:szCs w:val="22"/>
          <w:lang w:eastAsia="fr-FR"/>
        </w:rPr>
      </w:pPr>
      <w:r>
        <w:rPr>
          <w:rFonts w:cs="Times New Roman"/>
          <w:szCs w:val="22"/>
          <w:lang w:eastAsia="fr-FR"/>
        </w:rPr>
        <w:t>« </w:t>
      </w:r>
      <w:r w:rsidR="00AF7B14" w:rsidRPr="007F0821">
        <w:rPr>
          <w:rFonts w:cs="Times New Roman"/>
          <w:szCs w:val="22"/>
          <w:lang w:eastAsia="fr-FR"/>
        </w:rPr>
        <w:t>Les registres d’entrée dans les hôpitaux confirment pleinement que la mendicité est l’issue normale du petit peuple dans la difficulté. Et c’est bien la raison pour laquelle la monarchie ne pourra jamais faire appliquer l’interdiction de mendier. Mais il faut ajouter qu’au long des trois sièc</w:t>
      </w:r>
      <w:r w:rsidR="00802D7C" w:rsidRPr="007F0821">
        <w:rPr>
          <w:rFonts w:cs="Times New Roman"/>
          <w:szCs w:val="22"/>
          <w:lang w:eastAsia="fr-FR"/>
        </w:rPr>
        <w:t>l</w:t>
      </w:r>
      <w:r w:rsidR="00AF7B14" w:rsidRPr="007F0821">
        <w:rPr>
          <w:rFonts w:cs="Times New Roman"/>
          <w:szCs w:val="22"/>
          <w:lang w:eastAsia="fr-FR"/>
        </w:rPr>
        <w:t>es de l’Ancien Régime il y a une évolution du terme. Le mendiant constitue un état reconnu. Les documents fiscaux – rôles de taille notamment –, les inventaires après décès ou les testaments nous font rencontrer des mendiants imposés pour quelques sols, léguant quelques objets ou quelques livres. De même, la législation royale évoque assez souvent les « pauvres mendiants »</w:t>
      </w:r>
      <w:r w:rsidR="00802D7C" w:rsidRPr="007F0821">
        <w:rPr>
          <w:rFonts w:cs="Times New Roman"/>
          <w:szCs w:val="22"/>
          <w:lang w:eastAsia="fr-FR"/>
        </w:rPr>
        <w:t xml:space="preserve"> pour les exempter de telle ou telle charge. Mais, dès les dernières décennies du XVII</w:t>
      </w:r>
      <w:r w:rsidR="00802D7C" w:rsidRPr="007F0821">
        <w:rPr>
          <w:rFonts w:cs="Times New Roman"/>
          <w:szCs w:val="22"/>
          <w:vertAlign w:val="superscript"/>
          <w:lang w:eastAsia="fr-FR"/>
        </w:rPr>
        <w:t>e</w:t>
      </w:r>
      <w:r w:rsidR="00802D7C" w:rsidRPr="007F0821">
        <w:rPr>
          <w:rFonts w:cs="Times New Roman"/>
          <w:szCs w:val="22"/>
          <w:lang w:eastAsia="fr-FR"/>
        </w:rPr>
        <w:t xml:space="preserve"> siècle, on note l’expression de « mendiants valides » dans tous les textes qui prévoient l’enfermement dans les hôpitaux généraux. C’est une preuve de la détérioration de l’image du mendiant. Et, à peu près à la même époque, les mots de pauvre et de mendiant cessent d’être rapprochés, alors que progressivement, de 1685 à 1724, l’expression « mendiant et vagabond » devient commune. Ce sont là les signes d’une législation qui entend séparer de la société les mendiants et les vagabonds.</w:t>
      </w:r>
      <w:r>
        <w:rPr>
          <w:rFonts w:cs="Times New Roman"/>
          <w:szCs w:val="22"/>
          <w:lang w:eastAsia="fr-FR"/>
        </w:rPr>
        <w:t> »</w:t>
      </w:r>
    </w:p>
    <w:p w14:paraId="75653C3D" w14:textId="77777777" w:rsidR="00FC07DB" w:rsidRPr="00FE5AF7" w:rsidRDefault="0065193F" w:rsidP="00FE5AF7">
      <w:pPr>
        <w:jc w:val="right"/>
        <w:rPr>
          <w:sz w:val="20"/>
          <w:lang w:eastAsia="fr-FR"/>
        </w:rPr>
      </w:pPr>
      <w:r w:rsidRPr="0065193F">
        <w:rPr>
          <w:sz w:val="20"/>
          <w:lang w:eastAsia="fr-FR"/>
        </w:rPr>
        <w:t xml:space="preserve">J.-P. </w:t>
      </w:r>
      <w:r w:rsidRPr="0065193F">
        <w:rPr>
          <w:smallCaps/>
          <w:sz w:val="20"/>
          <w:lang w:eastAsia="fr-FR"/>
        </w:rPr>
        <w:t>Gutton</w:t>
      </w:r>
      <w:r w:rsidRPr="0065193F">
        <w:rPr>
          <w:sz w:val="20"/>
          <w:lang w:eastAsia="fr-FR"/>
        </w:rPr>
        <w:t xml:space="preserve">, « Mendiants et vagabonds », dans L. </w:t>
      </w:r>
      <w:proofErr w:type="spellStart"/>
      <w:r w:rsidRPr="0065193F">
        <w:rPr>
          <w:smallCaps/>
          <w:sz w:val="20"/>
          <w:lang w:eastAsia="fr-FR"/>
        </w:rPr>
        <w:t>Bély</w:t>
      </w:r>
      <w:proofErr w:type="spellEnd"/>
      <w:r w:rsidRPr="0065193F">
        <w:rPr>
          <w:sz w:val="20"/>
          <w:lang w:eastAsia="fr-FR"/>
        </w:rPr>
        <w:t xml:space="preserve"> (dir.), </w:t>
      </w:r>
      <w:r w:rsidRPr="0065193F">
        <w:rPr>
          <w:sz w:val="20"/>
          <w:lang w:eastAsia="fr-FR"/>
        </w:rPr>
        <w:br/>
      </w:r>
      <w:r w:rsidRPr="0065193F">
        <w:rPr>
          <w:i/>
          <w:sz w:val="20"/>
          <w:lang w:eastAsia="fr-FR"/>
        </w:rPr>
        <w:t>Dictionnaire de l’Ancien Régime</w:t>
      </w:r>
      <w:r w:rsidRPr="0065193F">
        <w:rPr>
          <w:sz w:val="20"/>
          <w:lang w:eastAsia="fr-FR"/>
        </w:rPr>
        <w:t>, Paris, Presses universitaires de France, 1996, p. 815.</w:t>
      </w:r>
    </w:p>
    <w:p w14:paraId="47C4D9E2" w14:textId="77777777" w:rsidR="0045400E" w:rsidRDefault="00AF7B14" w:rsidP="00513F46">
      <w:pPr>
        <w:pStyle w:val="Sansinterligne"/>
        <w:rPr>
          <w:lang w:eastAsia="fr-FR"/>
        </w:rPr>
      </w:pPr>
      <w:r>
        <w:rPr>
          <w:lang w:eastAsia="fr-FR"/>
        </w:rPr>
        <w:t>3</w:t>
      </w:r>
      <w:r w:rsidR="0045400E">
        <w:rPr>
          <w:lang w:eastAsia="fr-FR"/>
        </w:rPr>
        <w:t xml:space="preserve">. </w:t>
      </w:r>
      <w:r w:rsidR="00045DEB">
        <w:rPr>
          <w:lang w:eastAsia="fr-FR"/>
        </w:rPr>
        <w:t>Un tournant répressif contre la mendicité</w:t>
      </w:r>
      <w:r w:rsidR="00BE7DA5">
        <w:rPr>
          <w:lang w:eastAsia="fr-FR"/>
        </w:rPr>
        <w:t xml:space="preserve"> ? </w:t>
      </w:r>
    </w:p>
    <w:p w14:paraId="65E79854" w14:textId="77777777" w:rsidR="00045DEB" w:rsidRPr="007F0821" w:rsidRDefault="0074408E" w:rsidP="00E65E00">
      <w:pPr>
        <w:rPr>
          <w:rFonts w:eastAsia="Times New Roman" w:cs="Times New Roman"/>
          <w:szCs w:val="22"/>
          <w:lang w:eastAsia="fr-FR"/>
        </w:rPr>
      </w:pPr>
      <w:r>
        <w:rPr>
          <w:rFonts w:cs="Times New Roman"/>
          <w:szCs w:val="22"/>
          <w:lang w:eastAsia="fr-FR"/>
        </w:rPr>
        <w:t>« </w:t>
      </w:r>
      <w:r w:rsidR="00045DEB" w:rsidRPr="007F0821">
        <w:rPr>
          <w:rFonts w:cs="Times New Roman"/>
          <w:szCs w:val="22"/>
          <w:lang w:eastAsia="fr-FR"/>
        </w:rPr>
        <w:t xml:space="preserve">Si l’on en croit le préambule de l’ordonnance de juillet 1724, la mendicité s’est répandue partout et le nombre de mendiants a augmenté. Dans les campagnes, les vagabonds se livrent assez ordinairement à cette activité. Une statistique des personnes arrêtées par la maréchaussée entre 1731 et 1736, en Beauvaisis, fait </w:t>
      </w:r>
      <w:r w:rsidR="00045DEB" w:rsidRPr="007F0821">
        <w:rPr>
          <w:rFonts w:cs="Times New Roman"/>
          <w:szCs w:val="22"/>
          <w:lang w:eastAsia="fr-FR"/>
        </w:rPr>
        <w:lastRenderedPageBreak/>
        <w:t xml:space="preserve">ressortir la présence massive des « vagabonds mendiants valides ». Les vagabonds, soit presque 56 % des personnes arrêtées, cumulent quatre fois sur cinq les deux qualités de vagabond et de mendiant valide. </w:t>
      </w:r>
      <w:r w:rsidR="00045DEB" w:rsidRPr="007F0821">
        <w:rPr>
          <w:rFonts w:eastAsia="Times New Roman" w:cs="Times New Roman"/>
          <w:szCs w:val="22"/>
          <w:lang w:eastAsia="fr-FR"/>
        </w:rPr>
        <w:t>Alors que les mendiants invalides affluent dans les hôpitaux, la déclaration de juillet 1724, à l’égard des mendiants valides, ne souhaite laisser que le choix du travail ou des galères. La modération du confinement correctionnel en hôpital, prévu pour les premières et secondes arrestations […] s’explique […] par l’assurance nouvelle d’une punition de tous les mendiants « professionnels ». Les récidivistes, rendus identifiables par la nouvelle marque, étant promis aux galères, il était permis d’être plus indulgent pour les mendiants d’occasion. De ce point de vue, la déclaration de 1724 n’est ni plus ni moins rigoureuse que les déclarations antérieures. Elle est seulement plus sûre d’elle-même et de sa capacité à réprimer les mendiants d’habitude. Énergique, la déclaration invite les forces de police à arrêter les mendiants insolents dès le premier jour suivant sa publication, et tous les autres mendiants passé un délai de 15 jours.</w:t>
      </w:r>
    </w:p>
    <w:p w14:paraId="00CBB792" w14:textId="77777777" w:rsidR="00FE5AF7" w:rsidRDefault="00E65E00" w:rsidP="00F375E3">
      <w:pPr>
        <w:rPr>
          <w:rFonts w:cs="Times New Roman"/>
          <w:szCs w:val="22"/>
          <w:lang w:eastAsia="fr-FR"/>
        </w:rPr>
      </w:pPr>
      <w:r w:rsidRPr="007F0821">
        <w:rPr>
          <w:rFonts w:cs="Times New Roman"/>
          <w:szCs w:val="22"/>
          <w:lang w:eastAsia="fr-FR"/>
        </w:rPr>
        <w:t xml:space="preserve">[…] </w:t>
      </w:r>
      <w:r w:rsidR="00045DEB" w:rsidRPr="007F0821">
        <w:rPr>
          <w:rFonts w:cs="Times New Roman"/>
          <w:szCs w:val="22"/>
          <w:lang w:eastAsia="fr-FR"/>
        </w:rPr>
        <w:t>L’ordonnance de juillet 1724 décide que les mendiants récidivistes verront imprimer sur leur peau le monogramme M pour « mendiant ». Cette marque au fer rouge est ce que l’on appelle, en langage juridique, la flétrissure. Il s’agit d’une peine afflictive, qui, comme toute peine afflictive, rend incapable de posséder aucun office, charge publique ou bénéfice La flétrissure est aussi une peine infamante, une peine qui ôte l’honneur à celui qui est condamné. Il est ainsi permis de rejeter le témoignage de ceux qui ont encouru cette peine. Afflictive et infamante, la flétrissure fait perdre son état, sa qualité, à la personne ainsi sanctionnée.</w:t>
      </w:r>
    </w:p>
    <w:p w14:paraId="224E027B" w14:textId="77777777" w:rsidR="001C2B3A" w:rsidRPr="00FE5AF7" w:rsidRDefault="00FE5AF7" w:rsidP="00F375E3">
      <w:pPr>
        <w:rPr>
          <w:rFonts w:cs="Times New Roman"/>
          <w:szCs w:val="22"/>
          <w:lang w:eastAsia="fr-FR"/>
        </w:rPr>
      </w:pPr>
      <w:r w:rsidRPr="00FE5AF7">
        <w:rPr>
          <w:rFonts w:cs="Times New Roman"/>
          <w:szCs w:val="22"/>
          <w:lang w:eastAsia="fr-FR"/>
        </w:rPr>
        <w:t>[…] Alors que les mendiants invalides affluent dans les hôpitaux, la déclaration de juillet 1724, à l’égard des mendiants valides, ne souhaite laisser que le choix du travail ou des galères. La modération du confinement correctionnel en hôpital, prévu pour les premières et secondes arrestations, peut alors étonner. Elle s’explique en fait par l’assurance nouvelle d’une punition de tous les mendiants « professionnels ». Les récidivistes, rendus identifiables par la nouvelle marque, étant promis aux galères, il était permis d’être plus indulgent pour les mendiants d’occasion. De ce point de vue, la déclaration de 1724 n’est ni plus ni moins rigoureuse que les déclarations antérieures. Elle est seulement plus sûre d’elle-même et de sa capacité à réprimer les mendiants d’habitude.</w:t>
      </w:r>
      <w:r w:rsidR="0074408E" w:rsidRPr="00FE5AF7">
        <w:rPr>
          <w:rFonts w:cs="Times New Roman"/>
          <w:szCs w:val="22"/>
          <w:lang w:eastAsia="fr-FR"/>
        </w:rPr>
        <w:t> »</w:t>
      </w:r>
      <w:r w:rsidR="00045DEB" w:rsidRPr="00FE5AF7">
        <w:rPr>
          <w:rFonts w:cs="Times New Roman"/>
          <w:szCs w:val="22"/>
          <w:lang w:eastAsia="fr-FR"/>
        </w:rPr>
        <w:t xml:space="preserve"> </w:t>
      </w:r>
    </w:p>
    <w:p w14:paraId="25C1E321" w14:textId="77777777" w:rsidR="00F375E3" w:rsidRDefault="00F375E3" w:rsidP="00513F46">
      <w:pPr>
        <w:jc w:val="right"/>
        <w:rPr>
          <w:sz w:val="20"/>
          <w:lang w:eastAsia="fr-FR"/>
        </w:rPr>
      </w:pPr>
      <w:r w:rsidRPr="00D57733">
        <w:rPr>
          <w:sz w:val="20"/>
          <w:lang w:eastAsia="fr-FR"/>
        </w:rPr>
        <w:t>J.-L.</w:t>
      </w:r>
      <w:r w:rsidRPr="00D57733">
        <w:rPr>
          <w:smallCaps/>
          <w:sz w:val="20"/>
          <w:lang w:eastAsia="fr-FR"/>
        </w:rPr>
        <w:t xml:space="preserve"> Viret</w:t>
      </w:r>
      <w:r w:rsidRPr="00D57733">
        <w:rPr>
          <w:sz w:val="20"/>
          <w:lang w:eastAsia="fr-FR"/>
        </w:rPr>
        <w:t>, « Vagabonds et mendiants dans les campagnes</w:t>
      </w:r>
      <w:r w:rsidR="00ED4C6C">
        <w:rPr>
          <w:sz w:val="20"/>
          <w:lang w:eastAsia="fr-FR"/>
        </w:rPr>
        <w:t xml:space="preserve"> … », </w:t>
      </w:r>
      <w:r w:rsidR="00ED4C6C">
        <w:rPr>
          <w:i/>
          <w:sz w:val="20"/>
          <w:lang w:eastAsia="fr-FR"/>
        </w:rPr>
        <w:t xml:space="preserve">art. </w:t>
      </w:r>
      <w:proofErr w:type="spellStart"/>
      <w:r w:rsidR="00ED4C6C">
        <w:rPr>
          <w:i/>
          <w:sz w:val="20"/>
          <w:lang w:eastAsia="fr-FR"/>
        </w:rPr>
        <w:t>cit</w:t>
      </w:r>
      <w:proofErr w:type="spellEnd"/>
      <w:r w:rsidR="00ED4C6C">
        <w:rPr>
          <w:i/>
          <w:sz w:val="20"/>
          <w:lang w:eastAsia="fr-FR"/>
        </w:rPr>
        <w:t>.</w:t>
      </w:r>
      <w:r w:rsidRPr="00D57733">
        <w:rPr>
          <w:sz w:val="20"/>
          <w:lang w:eastAsia="fr-FR"/>
        </w:rPr>
        <w:t>, p. 9-11.</w:t>
      </w:r>
    </w:p>
    <w:p w14:paraId="1A33420B" w14:textId="77777777" w:rsidR="003305D4" w:rsidRDefault="003305D4" w:rsidP="00513F46">
      <w:pPr>
        <w:pStyle w:val="Sansinterligne"/>
        <w:spacing w:before="120"/>
        <w:rPr>
          <w:lang w:eastAsia="fr-FR"/>
        </w:rPr>
      </w:pPr>
      <w:r>
        <w:rPr>
          <w:lang w:eastAsia="fr-FR"/>
        </w:rPr>
        <w:t xml:space="preserve">4. </w:t>
      </w:r>
      <w:r w:rsidR="00D86734">
        <w:rPr>
          <w:lang w:eastAsia="fr-FR"/>
        </w:rPr>
        <w:t xml:space="preserve">Pénaliser la pauvreté ? </w:t>
      </w:r>
    </w:p>
    <w:p w14:paraId="3B79620C" w14:textId="77777777" w:rsidR="003305D4" w:rsidRPr="009B5524" w:rsidRDefault="0074408E" w:rsidP="003305D4">
      <w:pPr>
        <w:rPr>
          <w:rFonts w:cs="Times New Roman"/>
          <w:szCs w:val="22"/>
          <w:lang w:eastAsia="fr-FR"/>
        </w:rPr>
      </w:pPr>
      <w:r>
        <w:rPr>
          <w:rFonts w:cs="Times New Roman"/>
          <w:szCs w:val="22"/>
          <w:lang w:eastAsia="fr-FR"/>
        </w:rPr>
        <w:t>« </w:t>
      </w:r>
      <w:r w:rsidR="00D86734" w:rsidRPr="009B5524">
        <w:rPr>
          <w:rFonts w:cs="Times New Roman"/>
          <w:szCs w:val="22"/>
          <w:lang w:eastAsia="fr-FR"/>
        </w:rPr>
        <w:t>La mendicité est un phénomène de société longtemps resté hors de la sphère du droit pénal avant de devenir un objet de réprobation aux yeux de l’opinion et, pour le législateur, un délit à réprimer. Alors que le Moyen Âge idéalisait le « pauvre » en image du Christ, les siècles suivants accusent les mendiants et vagabonds d’être les principaux responsables de l’insécurité, en particulier à Paris. […] En 1526, François Ier dote le châtelet d’un magistrat spécial, le lieutenant criminel de robe courte, chargé de la police des mendiants et vagabonds. […] Plus polic</w:t>
      </w:r>
      <w:r w:rsidR="009B5524" w:rsidRPr="009B5524">
        <w:rPr>
          <w:rFonts w:cs="Times New Roman"/>
          <w:szCs w:val="22"/>
          <w:lang w:eastAsia="fr-FR"/>
        </w:rPr>
        <w:t>i</w:t>
      </w:r>
      <w:r w:rsidR="00D86734" w:rsidRPr="009B5524">
        <w:rPr>
          <w:rFonts w:cs="Times New Roman"/>
          <w:szCs w:val="22"/>
          <w:lang w:eastAsia="fr-FR"/>
        </w:rPr>
        <w:t xml:space="preserve">er que juge, il passera </w:t>
      </w:r>
      <w:r w:rsidR="009B5524" w:rsidRPr="009B5524">
        <w:rPr>
          <w:rFonts w:cs="Times New Roman"/>
          <w:szCs w:val="22"/>
          <w:lang w:eastAsia="fr-FR"/>
        </w:rPr>
        <w:t>naturellement</w:t>
      </w:r>
      <w:r w:rsidR="00D86734" w:rsidRPr="009B5524">
        <w:rPr>
          <w:rFonts w:cs="Times New Roman"/>
          <w:szCs w:val="22"/>
          <w:lang w:eastAsia="fr-FR"/>
        </w:rPr>
        <w:t xml:space="preserve"> sous l’autorité du lieutenant de police institué par l’édit de mars 1667. Cette police de la mendicité, étendue en 1554 aux grandes villes du royaume, ne parvient toutefois pas à endiguer les flux migratoires qui drainent les plus déshérités vers le mirage urbain. […] En 1656, un édit de Louis XIV réunit les établissements d’assistance de Paris sous le nom d’hôpital général, ordonne à tous les mendiants invalides d’y entrer et à leurs confrères valides de trouver du travail ou de quitter la ville. </w:t>
      </w:r>
      <w:r w:rsidR="009B5524" w:rsidRPr="009B5524">
        <w:rPr>
          <w:rFonts w:cs="Times New Roman"/>
          <w:szCs w:val="22"/>
          <w:lang w:eastAsia="fr-FR"/>
        </w:rPr>
        <w:t xml:space="preserve">[…] Mais l’effet d’intimidation passé, les gueux réapparurent. Le « grand renfermement » décrété par l’édit n’ayant été suivi que de quelques agrandissements des structures d’accueil existantes, il eut d’ailleurs été impossible d’héberger tous les mendiants invalides. Quant aux autres, il suffit de parcourir la liste des textes qui leur réitèrent l’obligation de travailler pour se convaincre qu’elle resta lettre morte… </w:t>
      </w:r>
      <w:r w:rsidR="009B5524">
        <w:rPr>
          <w:rFonts w:cs="Times New Roman"/>
          <w:szCs w:val="22"/>
          <w:lang w:eastAsia="fr-FR"/>
        </w:rPr>
        <w:t>En 1701, il est interdit sous peine de cinquante livres d’amende de faire l’aumône dans tous les lieux publics. Car l’aumône entretient la mendicité, la mendicité l’oisiveté, et l’oisiveté « la dissolution et la débauche qui portent insensiblement aux plus grands crimes », selon une déclaration de 1724.</w:t>
      </w:r>
      <w:r>
        <w:rPr>
          <w:rFonts w:cs="Times New Roman"/>
          <w:szCs w:val="22"/>
          <w:lang w:eastAsia="fr-FR"/>
        </w:rPr>
        <w:t> »</w:t>
      </w:r>
      <w:r w:rsidR="009B5524">
        <w:rPr>
          <w:rFonts w:cs="Times New Roman"/>
          <w:szCs w:val="22"/>
          <w:lang w:eastAsia="fr-FR"/>
        </w:rPr>
        <w:t xml:space="preserve"> </w:t>
      </w:r>
    </w:p>
    <w:p w14:paraId="3AB3317A" w14:textId="77777777" w:rsidR="00FC07DB" w:rsidRPr="00ED4C6C" w:rsidRDefault="00D86734" w:rsidP="00ED4C6C">
      <w:pPr>
        <w:spacing w:before="240"/>
        <w:jc w:val="right"/>
        <w:rPr>
          <w:sz w:val="20"/>
          <w:lang w:eastAsia="fr-FR"/>
        </w:rPr>
      </w:pPr>
      <w:r w:rsidRPr="00D86734">
        <w:rPr>
          <w:sz w:val="20"/>
          <w:lang w:eastAsia="fr-FR"/>
        </w:rPr>
        <w:t xml:space="preserve">Arlette </w:t>
      </w:r>
      <w:proofErr w:type="spellStart"/>
      <w:r w:rsidRPr="00D86734">
        <w:rPr>
          <w:smallCaps/>
          <w:sz w:val="20"/>
          <w:lang w:eastAsia="fr-FR"/>
        </w:rPr>
        <w:t>Lebigre</w:t>
      </w:r>
      <w:proofErr w:type="spellEnd"/>
      <w:r w:rsidRPr="00D86734">
        <w:rPr>
          <w:sz w:val="20"/>
          <w:lang w:eastAsia="fr-FR"/>
        </w:rPr>
        <w:t xml:space="preserve">, « Mendicité », dans M. </w:t>
      </w:r>
      <w:proofErr w:type="spellStart"/>
      <w:r w:rsidRPr="00D86734">
        <w:rPr>
          <w:sz w:val="20"/>
          <w:lang w:eastAsia="fr-FR"/>
        </w:rPr>
        <w:t>Aubouin</w:t>
      </w:r>
      <w:proofErr w:type="spellEnd"/>
      <w:r w:rsidRPr="00D86734">
        <w:rPr>
          <w:sz w:val="20"/>
          <w:lang w:eastAsia="fr-FR"/>
        </w:rPr>
        <w:t xml:space="preserve">, A. Teyssier, J. </w:t>
      </w:r>
      <w:proofErr w:type="spellStart"/>
      <w:r w:rsidRPr="00D86734">
        <w:rPr>
          <w:sz w:val="20"/>
          <w:lang w:eastAsia="fr-FR"/>
        </w:rPr>
        <w:t>Tulard</w:t>
      </w:r>
      <w:proofErr w:type="spellEnd"/>
      <w:r w:rsidRPr="00D86734">
        <w:rPr>
          <w:sz w:val="20"/>
          <w:lang w:eastAsia="fr-FR"/>
        </w:rPr>
        <w:t xml:space="preserve"> (dir.), </w:t>
      </w:r>
      <w:r w:rsidRPr="00D86734">
        <w:rPr>
          <w:sz w:val="20"/>
          <w:lang w:eastAsia="fr-FR"/>
        </w:rPr>
        <w:br/>
      </w:r>
      <w:r w:rsidRPr="00D86734">
        <w:rPr>
          <w:i/>
          <w:sz w:val="20"/>
          <w:lang w:eastAsia="fr-FR"/>
        </w:rPr>
        <w:t>Histoire et dictionnaire de la police</w:t>
      </w:r>
      <w:r w:rsidRPr="00D86734">
        <w:rPr>
          <w:sz w:val="20"/>
          <w:lang w:eastAsia="fr-FR"/>
        </w:rPr>
        <w:t>, Paris, Robert Laffont, 2005, p. 766-767.</w:t>
      </w:r>
    </w:p>
    <w:p w14:paraId="077DDFA7" w14:textId="77777777" w:rsidR="007F0821" w:rsidRPr="00114D92" w:rsidRDefault="007F0821" w:rsidP="007F0821">
      <w:pPr>
        <w:pStyle w:val="Sansinterligne"/>
        <w:rPr>
          <w:sz w:val="24"/>
        </w:rPr>
      </w:pPr>
      <w:r w:rsidRPr="00114D92">
        <w:rPr>
          <w:sz w:val="24"/>
        </w:rPr>
        <w:lastRenderedPageBreak/>
        <w:t>Comprendre son travail et s’améliorer (2) : la construction d’une sous-partie</w:t>
      </w:r>
    </w:p>
    <w:tbl>
      <w:tblPr>
        <w:tblStyle w:val="Grilledutableau1"/>
        <w:tblW w:w="9209" w:type="dxa"/>
        <w:tblLayout w:type="fixed"/>
        <w:tblLook w:val="04A0" w:firstRow="1" w:lastRow="0" w:firstColumn="1" w:lastColumn="0" w:noHBand="0" w:noVBand="1"/>
      </w:tblPr>
      <w:tblGrid>
        <w:gridCol w:w="8784"/>
        <w:gridCol w:w="425"/>
      </w:tblGrid>
      <w:tr w:rsidR="00736DD1" w:rsidRPr="008734B9" w14:paraId="3E91156E" w14:textId="77777777" w:rsidTr="004008A2">
        <w:tc>
          <w:tcPr>
            <w:tcW w:w="8784" w:type="dxa"/>
          </w:tcPr>
          <w:p w14:paraId="02F9C457" w14:textId="77777777" w:rsidR="00736DD1" w:rsidRDefault="00736DD1" w:rsidP="00553C52">
            <w:pPr>
              <w:pStyle w:val="Notes"/>
              <w:spacing w:before="60" w:after="60"/>
              <w:jc w:val="left"/>
              <w:rPr>
                <w:b/>
                <w:sz w:val="22"/>
                <w:szCs w:val="22"/>
              </w:rPr>
            </w:pPr>
            <w:r>
              <w:rPr>
                <w:b/>
                <w:sz w:val="22"/>
                <w:szCs w:val="22"/>
              </w:rPr>
              <w:t>Structure et présentation de la partie dans son ensemble</w:t>
            </w:r>
          </w:p>
        </w:tc>
        <w:tc>
          <w:tcPr>
            <w:tcW w:w="425" w:type="dxa"/>
            <w:shd w:val="clear" w:color="auto" w:fill="BFBFBF" w:themeFill="background1" w:themeFillShade="BF"/>
          </w:tcPr>
          <w:p w14:paraId="42EDF9B3" w14:textId="77777777" w:rsidR="00736DD1" w:rsidRPr="008734B9" w:rsidRDefault="00736DD1" w:rsidP="004008A2">
            <w:pPr>
              <w:pStyle w:val="Notes"/>
              <w:spacing w:before="40" w:after="40"/>
              <w:jc w:val="left"/>
              <w:rPr>
                <w:b/>
                <w:sz w:val="22"/>
                <w:szCs w:val="22"/>
              </w:rPr>
            </w:pPr>
          </w:p>
        </w:tc>
      </w:tr>
      <w:tr w:rsidR="00736DD1" w:rsidRPr="008734B9" w14:paraId="5E674FB5" w14:textId="77777777" w:rsidTr="00736DD1">
        <w:tc>
          <w:tcPr>
            <w:tcW w:w="8784" w:type="dxa"/>
            <w:shd w:val="clear" w:color="auto" w:fill="auto"/>
          </w:tcPr>
          <w:p w14:paraId="5EEFFFCA" w14:textId="77777777" w:rsidR="00736DD1" w:rsidRPr="008734B9" w:rsidRDefault="001624D1" w:rsidP="00736DD1">
            <w:pPr>
              <w:pStyle w:val="Notes"/>
              <w:spacing w:before="60" w:after="60"/>
              <w:ind w:left="171"/>
              <w:jc w:val="left"/>
              <w:rPr>
                <w:i/>
                <w:sz w:val="22"/>
                <w:szCs w:val="22"/>
              </w:rPr>
            </w:pPr>
            <w:r>
              <w:rPr>
                <w:i/>
                <w:sz w:val="22"/>
                <w:szCs w:val="22"/>
              </w:rPr>
              <w:t>La partie n’est pas introduite</w:t>
            </w:r>
            <w:r w:rsidR="00736DD1">
              <w:rPr>
                <w:i/>
                <w:sz w:val="22"/>
                <w:szCs w:val="22"/>
              </w:rPr>
              <w:t>.</w:t>
            </w:r>
          </w:p>
        </w:tc>
        <w:tc>
          <w:tcPr>
            <w:tcW w:w="425" w:type="dxa"/>
            <w:shd w:val="clear" w:color="auto" w:fill="auto"/>
            <w:vAlign w:val="center"/>
          </w:tcPr>
          <w:p w14:paraId="3834D8A0" w14:textId="77777777" w:rsidR="00736DD1" w:rsidRPr="00736DD1" w:rsidRDefault="00736DD1" w:rsidP="00736DD1">
            <w:pPr>
              <w:pStyle w:val="Notes"/>
              <w:spacing w:before="40" w:after="40"/>
              <w:jc w:val="center"/>
              <w:rPr>
                <w:sz w:val="22"/>
                <w:szCs w:val="22"/>
              </w:rPr>
            </w:pPr>
            <w:r w:rsidRPr="00736DD1">
              <w:rPr>
                <w:sz w:val="22"/>
                <w:szCs w:val="22"/>
              </w:rPr>
              <w:t>0</w:t>
            </w:r>
          </w:p>
        </w:tc>
      </w:tr>
      <w:tr w:rsidR="00736DD1" w:rsidRPr="008734B9" w14:paraId="37075990" w14:textId="77777777" w:rsidTr="00736DD1">
        <w:tc>
          <w:tcPr>
            <w:tcW w:w="8784" w:type="dxa"/>
            <w:shd w:val="clear" w:color="auto" w:fill="auto"/>
          </w:tcPr>
          <w:p w14:paraId="3C69CDF0" w14:textId="77777777" w:rsidR="00736DD1" w:rsidRDefault="001624D1" w:rsidP="00736DD1">
            <w:pPr>
              <w:pStyle w:val="Notes"/>
              <w:spacing w:before="60" w:after="60"/>
              <w:ind w:left="171"/>
              <w:jc w:val="left"/>
              <w:rPr>
                <w:i/>
                <w:sz w:val="22"/>
                <w:szCs w:val="22"/>
              </w:rPr>
            </w:pPr>
            <w:r>
              <w:rPr>
                <w:i/>
                <w:sz w:val="22"/>
                <w:szCs w:val="22"/>
              </w:rPr>
              <w:t xml:space="preserve">La partie est introduite sous la forme d’une annonce rudimentaire, qui ne permet de comprendre </w:t>
            </w:r>
            <w:r>
              <w:rPr>
                <w:i/>
                <w:sz w:val="22"/>
                <w:szCs w:val="22"/>
              </w:rPr>
              <w:br/>
              <w:t xml:space="preserve">ni le contenu de la partie (sous-parties), ni la logique argumentative de l’ensemble. </w:t>
            </w:r>
          </w:p>
        </w:tc>
        <w:tc>
          <w:tcPr>
            <w:tcW w:w="425" w:type="dxa"/>
            <w:shd w:val="clear" w:color="auto" w:fill="auto"/>
            <w:vAlign w:val="center"/>
          </w:tcPr>
          <w:p w14:paraId="420E3B57" w14:textId="77777777" w:rsidR="00736DD1" w:rsidRPr="00736DD1" w:rsidRDefault="00736DD1" w:rsidP="00736DD1">
            <w:pPr>
              <w:pStyle w:val="Notes"/>
              <w:spacing w:before="40" w:after="40"/>
              <w:jc w:val="center"/>
              <w:rPr>
                <w:sz w:val="22"/>
                <w:szCs w:val="22"/>
              </w:rPr>
            </w:pPr>
            <w:r w:rsidRPr="00736DD1">
              <w:rPr>
                <w:sz w:val="22"/>
                <w:szCs w:val="22"/>
              </w:rPr>
              <w:t>1</w:t>
            </w:r>
          </w:p>
        </w:tc>
      </w:tr>
      <w:tr w:rsidR="00736DD1" w:rsidRPr="008734B9" w14:paraId="2702AB17" w14:textId="77777777" w:rsidTr="00736DD1">
        <w:tc>
          <w:tcPr>
            <w:tcW w:w="8784" w:type="dxa"/>
            <w:shd w:val="clear" w:color="auto" w:fill="auto"/>
          </w:tcPr>
          <w:p w14:paraId="3003C4CD" w14:textId="77777777" w:rsidR="00736DD1" w:rsidRDefault="001624D1" w:rsidP="00736DD1">
            <w:pPr>
              <w:pStyle w:val="Notes"/>
              <w:spacing w:before="60" w:after="60"/>
              <w:ind w:left="171"/>
              <w:jc w:val="left"/>
              <w:rPr>
                <w:i/>
                <w:sz w:val="22"/>
                <w:szCs w:val="22"/>
              </w:rPr>
            </w:pPr>
            <w:r>
              <w:rPr>
                <w:i/>
                <w:sz w:val="22"/>
                <w:szCs w:val="22"/>
              </w:rPr>
              <w:t xml:space="preserve">La partie est introduite sous la forme d’un court paragraphe (6-7 lignes) détaillant la démonstration de la partie, avant de laisser entrevoir le plan interne à la partie. Cette annonce respecte les règles de l’annonce de plan.  </w:t>
            </w:r>
          </w:p>
        </w:tc>
        <w:tc>
          <w:tcPr>
            <w:tcW w:w="425" w:type="dxa"/>
            <w:shd w:val="clear" w:color="auto" w:fill="auto"/>
            <w:vAlign w:val="center"/>
          </w:tcPr>
          <w:p w14:paraId="1BA1BDFF" w14:textId="77777777" w:rsidR="00736DD1" w:rsidRPr="00736DD1" w:rsidRDefault="00736DD1" w:rsidP="00736DD1">
            <w:pPr>
              <w:pStyle w:val="Notes"/>
              <w:spacing w:before="40" w:after="40"/>
              <w:jc w:val="center"/>
              <w:rPr>
                <w:sz w:val="22"/>
                <w:szCs w:val="22"/>
              </w:rPr>
            </w:pPr>
            <w:r w:rsidRPr="00736DD1">
              <w:rPr>
                <w:sz w:val="22"/>
                <w:szCs w:val="22"/>
              </w:rPr>
              <w:t>2</w:t>
            </w:r>
          </w:p>
        </w:tc>
      </w:tr>
      <w:tr w:rsidR="00736DD1" w:rsidRPr="008734B9" w14:paraId="5874040D" w14:textId="77777777" w:rsidTr="004008A2">
        <w:tc>
          <w:tcPr>
            <w:tcW w:w="8784" w:type="dxa"/>
          </w:tcPr>
          <w:p w14:paraId="2C6A67D3" w14:textId="77777777" w:rsidR="00736DD1" w:rsidRPr="008734B9" w:rsidRDefault="00736DD1" w:rsidP="00553C52">
            <w:pPr>
              <w:pStyle w:val="Notes"/>
              <w:spacing w:before="60" w:after="60"/>
              <w:jc w:val="left"/>
              <w:rPr>
                <w:b/>
                <w:sz w:val="22"/>
                <w:szCs w:val="22"/>
              </w:rPr>
            </w:pPr>
            <w:r>
              <w:rPr>
                <w:b/>
                <w:sz w:val="22"/>
                <w:szCs w:val="22"/>
              </w:rPr>
              <w:t xml:space="preserve">Structure et fonctionnement général de la sous-partie </w:t>
            </w:r>
          </w:p>
        </w:tc>
        <w:tc>
          <w:tcPr>
            <w:tcW w:w="425" w:type="dxa"/>
            <w:shd w:val="clear" w:color="auto" w:fill="BFBFBF" w:themeFill="background1" w:themeFillShade="BF"/>
          </w:tcPr>
          <w:p w14:paraId="091DD4A9" w14:textId="77777777" w:rsidR="00736DD1" w:rsidRPr="008734B9" w:rsidRDefault="00736DD1" w:rsidP="00736DD1">
            <w:pPr>
              <w:pStyle w:val="Notes"/>
              <w:spacing w:before="40" w:after="40"/>
              <w:jc w:val="left"/>
              <w:rPr>
                <w:b/>
                <w:sz w:val="22"/>
                <w:szCs w:val="22"/>
              </w:rPr>
            </w:pPr>
          </w:p>
        </w:tc>
      </w:tr>
      <w:tr w:rsidR="00736DD1" w:rsidRPr="008734B9" w14:paraId="769C27A7" w14:textId="77777777" w:rsidTr="004008A2">
        <w:tc>
          <w:tcPr>
            <w:tcW w:w="8784" w:type="dxa"/>
          </w:tcPr>
          <w:p w14:paraId="75CC4A73" w14:textId="77777777" w:rsidR="00736DD1" w:rsidRPr="008734B9" w:rsidRDefault="00736DD1" w:rsidP="00736DD1">
            <w:pPr>
              <w:pStyle w:val="Notes"/>
              <w:spacing w:before="60" w:after="60"/>
              <w:ind w:left="171"/>
              <w:jc w:val="left"/>
              <w:rPr>
                <w:i/>
                <w:sz w:val="22"/>
                <w:szCs w:val="22"/>
              </w:rPr>
            </w:pPr>
            <w:r>
              <w:rPr>
                <w:i/>
                <w:sz w:val="22"/>
                <w:szCs w:val="22"/>
              </w:rPr>
              <w:t xml:space="preserve">La source n’est pas du tout citée de la sous-partie, ou elle ne l’est que sous forme de sous-entendu ou de citation isolée (quelques mots à des fins d’illustration par exemple). La sous-partie ne tient pas compte de la source.   </w:t>
            </w:r>
          </w:p>
        </w:tc>
        <w:tc>
          <w:tcPr>
            <w:tcW w:w="425" w:type="dxa"/>
            <w:vAlign w:val="center"/>
          </w:tcPr>
          <w:p w14:paraId="395114EA" w14:textId="77777777" w:rsidR="00736DD1" w:rsidRPr="008734B9" w:rsidRDefault="00736DD1" w:rsidP="00736DD1">
            <w:pPr>
              <w:pStyle w:val="Notes"/>
              <w:spacing w:before="60" w:after="60"/>
              <w:ind w:left="-10"/>
              <w:jc w:val="center"/>
              <w:rPr>
                <w:sz w:val="22"/>
                <w:szCs w:val="22"/>
              </w:rPr>
            </w:pPr>
            <w:r>
              <w:rPr>
                <w:sz w:val="22"/>
                <w:szCs w:val="22"/>
              </w:rPr>
              <w:t>0</w:t>
            </w:r>
          </w:p>
        </w:tc>
      </w:tr>
      <w:tr w:rsidR="00736DD1" w:rsidRPr="008734B9" w14:paraId="38165A1D" w14:textId="77777777" w:rsidTr="004008A2">
        <w:tc>
          <w:tcPr>
            <w:tcW w:w="8784" w:type="dxa"/>
          </w:tcPr>
          <w:p w14:paraId="5FAA18EB" w14:textId="77777777" w:rsidR="00736DD1" w:rsidRPr="008734B9" w:rsidRDefault="00736DD1" w:rsidP="00736DD1">
            <w:pPr>
              <w:pStyle w:val="Notes"/>
              <w:spacing w:before="60" w:after="60"/>
              <w:ind w:left="171"/>
              <w:jc w:val="left"/>
              <w:rPr>
                <w:i/>
                <w:sz w:val="22"/>
                <w:szCs w:val="22"/>
              </w:rPr>
            </w:pPr>
            <w:r>
              <w:rPr>
                <w:i/>
                <w:sz w:val="22"/>
                <w:szCs w:val="22"/>
              </w:rPr>
              <w:t xml:space="preserve">La source n’est citée qu’à des fins illustratives, en milieu ou fin de sous-partie. Le propos ne vise pas à l’expliquer. </w:t>
            </w:r>
          </w:p>
        </w:tc>
        <w:tc>
          <w:tcPr>
            <w:tcW w:w="425" w:type="dxa"/>
            <w:vAlign w:val="center"/>
          </w:tcPr>
          <w:p w14:paraId="1B8AD4E7" w14:textId="77777777" w:rsidR="00736DD1" w:rsidRPr="008734B9" w:rsidRDefault="00736DD1" w:rsidP="00736DD1">
            <w:pPr>
              <w:pStyle w:val="Notes"/>
              <w:spacing w:before="60" w:after="60"/>
              <w:ind w:left="-10"/>
              <w:jc w:val="center"/>
              <w:rPr>
                <w:sz w:val="22"/>
                <w:szCs w:val="22"/>
              </w:rPr>
            </w:pPr>
            <w:r w:rsidRPr="008734B9">
              <w:rPr>
                <w:sz w:val="22"/>
                <w:szCs w:val="22"/>
              </w:rPr>
              <w:t>1</w:t>
            </w:r>
          </w:p>
        </w:tc>
      </w:tr>
      <w:tr w:rsidR="00736DD1" w:rsidRPr="008734B9" w14:paraId="4F5A8B59" w14:textId="77777777" w:rsidTr="004008A2">
        <w:tc>
          <w:tcPr>
            <w:tcW w:w="8784" w:type="dxa"/>
          </w:tcPr>
          <w:p w14:paraId="4C8BED37" w14:textId="77777777" w:rsidR="00736DD1" w:rsidRPr="008734B9" w:rsidRDefault="00736DD1" w:rsidP="00736DD1">
            <w:pPr>
              <w:pStyle w:val="Notes"/>
              <w:spacing w:before="60" w:after="60"/>
              <w:ind w:left="171"/>
              <w:jc w:val="left"/>
              <w:rPr>
                <w:i/>
                <w:sz w:val="22"/>
                <w:szCs w:val="22"/>
              </w:rPr>
            </w:pPr>
            <w:r>
              <w:rPr>
                <w:i/>
                <w:sz w:val="22"/>
                <w:szCs w:val="22"/>
              </w:rPr>
              <w:t xml:space="preserve">La sous-partie commence par une citation très courte (moins d’une phrase) de la source, qui en isole le sens. </w:t>
            </w:r>
            <w:r>
              <w:rPr>
                <w:i/>
                <w:sz w:val="22"/>
                <w:szCs w:val="22"/>
              </w:rPr>
              <w:br/>
              <w:t xml:space="preserve">Le commentaire qui suit n’explique pas ou peu le texte. Seules des bribes de phrases sont citées et/ou employées. </w:t>
            </w:r>
          </w:p>
        </w:tc>
        <w:tc>
          <w:tcPr>
            <w:tcW w:w="425" w:type="dxa"/>
            <w:vAlign w:val="center"/>
          </w:tcPr>
          <w:p w14:paraId="2F18394A" w14:textId="77777777" w:rsidR="00736DD1" w:rsidRPr="008734B9" w:rsidRDefault="00736DD1" w:rsidP="00736DD1">
            <w:pPr>
              <w:pStyle w:val="Notes"/>
              <w:spacing w:before="60" w:after="60"/>
              <w:ind w:left="-10"/>
              <w:jc w:val="center"/>
              <w:rPr>
                <w:sz w:val="22"/>
                <w:szCs w:val="22"/>
              </w:rPr>
            </w:pPr>
            <w:r w:rsidRPr="008734B9">
              <w:rPr>
                <w:sz w:val="22"/>
                <w:szCs w:val="22"/>
              </w:rPr>
              <w:t>2</w:t>
            </w:r>
          </w:p>
        </w:tc>
      </w:tr>
      <w:tr w:rsidR="00736DD1" w:rsidRPr="008734B9" w14:paraId="6EF7B8D6" w14:textId="77777777" w:rsidTr="004008A2">
        <w:tc>
          <w:tcPr>
            <w:tcW w:w="8784" w:type="dxa"/>
          </w:tcPr>
          <w:p w14:paraId="5FA0A966" w14:textId="77777777" w:rsidR="00736DD1" w:rsidRPr="008734B9" w:rsidRDefault="00736DD1" w:rsidP="00736DD1">
            <w:pPr>
              <w:pStyle w:val="Notes"/>
              <w:spacing w:before="60" w:after="60"/>
              <w:ind w:left="171"/>
              <w:jc w:val="left"/>
              <w:rPr>
                <w:i/>
                <w:sz w:val="22"/>
                <w:szCs w:val="22"/>
              </w:rPr>
            </w:pPr>
            <w:r>
              <w:rPr>
                <w:i/>
                <w:sz w:val="22"/>
                <w:szCs w:val="22"/>
              </w:rPr>
              <w:t xml:space="preserve">La sous-partie commence immédiatement ou presque par une citation de la source. Cette citation est assez longue pour ne pas tronquer le sens du texte ou isoler des mots de leur sens (une phrase minimum). D’autres citations sont employées au fil de la sous-partie, pour agrémenter ou nuancer le propos. </w:t>
            </w:r>
          </w:p>
        </w:tc>
        <w:tc>
          <w:tcPr>
            <w:tcW w:w="425" w:type="dxa"/>
            <w:vAlign w:val="center"/>
          </w:tcPr>
          <w:p w14:paraId="318FA69E" w14:textId="77777777" w:rsidR="00736DD1" w:rsidRPr="008734B9" w:rsidRDefault="00736DD1" w:rsidP="00736DD1">
            <w:pPr>
              <w:pStyle w:val="Notes"/>
              <w:spacing w:before="60" w:after="60"/>
              <w:ind w:left="-10"/>
              <w:jc w:val="center"/>
              <w:rPr>
                <w:sz w:val="22"/>
                <w:szCs w:val="22"/>
              </w:rPr>
            </w:pPr>
            <w:r w:rsidRPr="008734B9">
              <w:rPr>
                <w:sz w:val="22"/>
                <w:szCs w:val="22"/>
              </w:rPr>
              <w:t>3</w:t>
            </w:r>
          </w:p>
        </w:tc>
      </w:tr>
      <w:tr w:rsidR="00736DD1" w:rsidRPr="008734B9" w14:paraId="5AEB30D0" w14:textId="77777777" w:rsidTr="004008A2">
        <w:tc>
          <w:tcPr>
            <w:tcW w:w="8784" w:type="dxa"/>
          </w:tcPr>
          <w:p w14:paraId="307AE7D9" w14:textId="77777777" w:rsidR="00736DD1" w:rsidRPr="008734B9" w:rsidRDefault="00E52013" w:rsidP="00553C52">
            <w:pPr>
              <w:pStyle w:val="Notes"/>
              <w:spacing w:before="60" w:after="60"/>
              <w:jc w:val="left"/>
              <w:rPr>
                <w:b/>
                <w:sz w:val="22"/>
                <w:szCs w:val="22"/>
              </w:rPr>
            </w:pPr>
            <w:r>
              <w:rPr>
                <w:b/>
                <w:sz w:val="22"/>
                <w:szCs w:val="22"/>
              </w:rPr>
              <w:t>La sous-partie explique le texte à l’aide de connaissances factuelles précises et choisies</w:t>
            </w:r>
          </w:p>
        </w:tc>
        <w:tc>
          <w:tcPr>
            <w:tcW w:w="425" w:type="dxa"/>
            <w:shd w:val="clear" w:color="auto" w:fill="BFBFBF" w:themeFill="background1" w:themeFillShade="BF"/>
            <w:vAlign w:val="center"/>
          </w:tcPr>
          <w:p w14:paraId="761D3E47" w14:textId="77777777" w:rsidR="00736DD1" w:rsidRPr="008734B9" w:rsidRDefault="00736DD1" w:rsidP="00736DD1">
            <w:pPr>
              <w:pStyle w:val="Notes"/>
              <w:spacing w:before="40" w:after="40"/>
              <w:ind w:left="-10"/>
              <w:jc w:val="center"/>
              <w:rPr>
                <w:b/>
                <w:sz w:val="22"/>
                <w:szCs w:val="22"/>
              </w:rPr>
            </w:pPr>
          </w:p>
        </w:tc>
      </w:tr>
      <w:tr w:rsidR="00736DD1" w:rsidRPr="008734B9" w14:paraId="6F6E9BD0" w14:textId="77777777" w:rsidTr="004008A2">
        <w:tc>
          <w:tcPr>
            <w:tcW w:w="8784" w:type="dxa"/>
          </w:tcPr>
          <w:p w14:paraId="0BBC81B1" w14:textId="77777777" w:rsidR="00736DD1" w:rsidRPr="008734B9" w:rsidRDefault="00E52013" w:rsidP="00736DD1">
            <w:pPr>
              <w:pStyle w:val="Notes"/>
              <w:spacing w:before="40" w:after="40"/>
              <w:ind w:left="171"/>
              <w:jc w:val="left"/>
              <w:rPr>
                <w:i/>
                <w:sz w:val="22"/>
                <w:szCs w:val="22"/>
              </w:rPr>
            </w:pPr>
            <w:r>
              <w:rPr>
                <w:i/>
                <w:sz w:val="22"/>
                <w:szCs w:val="22"/>
              </w:rPr>
              <w:t xml:space="preserve">Aucune connaissance </w:t>
            </w:r>
            <w:r w:rsidR="00553C52">
              <w:rPr>
                <w:i/>
                <w:sz w:val="22"/>
                <w:szCs w:val="22"/>
              </w:rPr>
              <w:t xml:space="preserve">n’est apportée au texte : la sous-partie ne mentionne aucune date, ni événement, ni lieu </w:t>
            </w:r>
            <w:r w:rsidR="00553C52">
              <w:rPr>
                <w:i/>
                <w:sz w:val="22"/>
                <w:szCs w:val="22"/>
              </w:rPr>
              <w:br/>
              <w:t xml:space="preserve">ni phénomène historique. L’essentiel du commentaire relève de la paraphrase. </w:t>
            </w:r>
          </w:p>
        </w:tc>
        <w:tc>
          <w:tcPr>
            <w:tcW w:w="425" w:type="dxa"/>
            <w:vAlign w:val="center"/>
          </w:tcPr>
          <w:p w14:paraId="59C82CE1" w14:textId="77777777" w:rsidR="00736DD1" w:rsidRPr="008734B9" w:rsidRDefault="00736DD1" w:rsidP="00736DD1">
            <w:pPr>
              <w:pStyle w:val="Notes"/>
              <w:spacing w:before="40" w:after="40"/>
              <w:ind w:left="-10"/>
              <w:jc w:val="center"/>
              <w:rPr>
                <w:sz w:val="22"/>
                <w:szCs w:val="22"/>
              </w:rPr>
            </w:pPr>
            <w:r>
              <w:rPr>
                <w:sz w:val="22"/>
                <w:szCs w:val="22"/>
              </w:rPr>
              <w:t>0</w:t>
            </w:r>
          </w:p>
        </w:tc>
      </w:tr>
      <w:tr w:rsidR="00736DD1" w:rsidRPr="008734B9" w14:paraId="75912604" w14:textId="77777777" w:rsidTr="004008A2">
        <w:tc>
          <w:tcPr>
            <w:tcW w:w="8784" w:type="dxa"/>
          </w:tcPr>
          <w:p w14:paraId="015C5FDF" w14:textId="77777777" w:rsidR="00736DD1" w:rsidRPr="008734B9" w:rsidRDefault="00553C52" w:rsidP="00736DD1">
            <w:pPr>
              <w:pStyle w:val="Notes"/>
              <w:spacing w:before="40" w:after="40"/>
              <w:ind w:left="171"/>
              <w:jc w:val="left"/>
              <w:rPr>
                <w:i/>
                <w:sz w:val="22"/>
                <w:szCs w:val="22"/>
              </w:rPr>
            </w:pPr>
            <w:r>
              <w:rPr>
                <w:i/>
                <w:sz w:val="22"/>
                <w:szCs w:val="22"/>
              </w:rPr>
              <w:t>Quelques connaissances imprécises ou peu développées viennent renforcer une explication maladroite de la source</w:t>
            </w:r>
            <w:r w:rsidR="00736DD1" w:rsidRPr="008734B9">
              <w:rPr>
                <w:i/>
                <w:sz w:val="22"/>
                <w:szCs w:val="22"/>
              </w:rPr>
              <w:t>.</w:t>
            </w:r>
            <w:r>
              <w:rPr>
                <w:i/>
                <w:sz w:val="22"/>
                <w:szCs w:val="22"/>
              </w:rPr>
              <w:t xml:space="preserve"> </w:t>
            </w:r>
          </w:p>
        </w:tc>
        <w:tc>
          <w:tcPr>
            <w:tcW w:w="425" w:type="dxa"/>
            <w:vAlign w:val="center"/>
          </w:tcPr>
          <w:p w14:paraId="4FD6914D" w14:textId="77777777" w:rsidR="00736DD1" w:rsidRPr="008734B9" w:rsidRDefault="00736DD1" w:rsidP="00736DD1">
            <w:pPr>
              <w:pStyle w:val="Notes"/>
              <w:spacing w:before="40" w:after="40"/>
              <w:ind w:left="-10"/>
              <w:jc w:val="center"/>
              <w:rPr>
                <w:sz w:val="22"/>
                <w:szCs w:val="22"/>
              </w:rPr>
            </w:pPr>
            <w:r w:rsidRPr="008734B9">
              <w:rPr>
                <w:sz w:val="22"/>
                <w:szCs w:val="22"/>
              </w:rPr>
              <w:t>1</w:t>
            </w:r>
          </w:p>
        </w:tc>
      </w:tr>
      <w:tr w:rsidR="00736DD1" w:rsidRPr="008734B9" w14:paraId="200CC210" w14:textId="77777777" w:rsidTr="004008A2">
        <w:tc>
          <w:tcPr>
            <w:tcW w:w="8784" w:type="dxa"/>
          </w:tcPr>
          <w:p w14:paraId="5C6C5419" w14:textId="77777777" w:rsidR="00736DD1" w:rsidRPr="008734B9" w:rsidRDefault="00553C52" w:rsidP="00736DD1">
            <w:pPr>
              <w:pStyle w:val="Notes"/>
              <w:spacing w:before="40" w:after="40"/>
              <w:ind w:left="171"/>
              <w:jc w:val="left"/>
              <w:rPr>
                <w:i/>
                <w:sz w:val="22"/>
                <w:szCs w:val="22"/>
              </w:rPr>
            </w:pPr>
            <w:r>
              <w:rPr>
                <w:i/>
                <w:sz w:val="22"/>
                <w:szCs w:val="22"/>
              </w:rPr>
              <w:t>Des connaissances précises permettent d’expliquer la source</w:t>
            </w:r>
            <w:r w:rsidR="00736DD1" w:rsidRPr="008734B9">
              <w:rPr>
                <w:i/>
                <w:sz w:val="22"/>
                <w:szCs w:val="22"/>
              </w:rPr>
              <w:t>.</w:t>
            </w:r>
            <w:r>
              <w:rPr>
                <w:i/>
                <w:sz w:val="22"/>
                <w:szCs w:val="22"/>
              </w:rPr>
              <w:t xml:space="preserve"> Une partie des informations est en trop </w:t>
            </w:r>
            <w:r>
              <w:rPr>
                <w:i/>
                <w:sz w:val="22"/>
                <w:szCs w:val="22"/>
              </w:rPr>
              <w:br/>
              <w:t xml:space="preserve">(dissertation à propos), ce qui tend à noyer le lecteur sous les informations inutiles. </w:t>
            </w:r>
          </w:p>
        </w:tc>
        <w:tc>
          <w:tcPr>
            <w:tcW w:w="425" w:type="dxa"/>
            <w:vAlign w:val="center"/>
          </w:tcPr>
          <w:p w14:paraId="42E32B9B" w14:textId="77777777" w:rsidR="00736DD1" w:rsidRPr="008734B9" w:rsidRDefault="00736DD1" w:rsidP="00736DD1">
            <w:pPr>
              <w:pStyle w:val="Notes"/>
              <w:spacing w:before="40" w:after="40"/>
              <w:ind w:left="-10"/>
              <w:jc w:val="center"/>
              <w:rPr>
                <w:sz w:val="22"/>
                <w:szCs w:val="22"/>
              </w:rPr>
            </w:pPr>
            <w:r w:rsidRPr="008734B9">
              <w:rPr>
                <w:sz w:val="22"/>
                <w:szCs w:val="22"/>
              </w:rPr>
              <w:t>2</w:t>
            </w:r>
          </w:p>
        </w:tc>
      </w:tr>
      <w:tr w:rsidR="00736DD1" w:rsidRPr="008734B9" w14:paraId="6306C3B1" w14:textId="77777777" w:rsidTr="004008A2">
        <w:tc>
          <w:tcPr>
            <w:tcW w:w="8784" w:type="dxa"/>
          </w:tcPr>
          <w:p w14:paraId="247D90BE" w14:textId="77777777" w:rsidR="00736DD1" w:rsidRPr="008734B9" w:rsidRDefault="00553C52" w:rsidP="00736DD1">
            <w:pPr>
              <w:pStyle w:val="Notes"/>
              <w:spacing w:before="40" w:after="40"/>
              <w:ind w:left="171"/>
              <w:jc w:val="left"/>
              <w:rPr>
                <w:i/>
                <w:sz w:val="22"/>
                <w:szCs w:val="22"/>
              </w:rPr>
            </w:pPr>
            <w:r>
              <w:rPr>
                <w:i/>
                <w:sz w:val="22"/>
                <w:szCs w:val="22"/>
              </w:rPr>
              <w:t>Les connaissances sont précises et choisies pour expliquer parfaitement (et uniquement) la source commentée</w:t>
            </w:r>
            <w:r w:rsidR="00736DD1" w:rsidRPr="008734B9">
              <w:rPr>
                <w:i/>
                <w:sz w:val="22"/>
                <w:szCs w:val="22"/>
              </w:rPr>
              <w:t>.</w:t>
            </w:r>
            <w:r>
              <w:rPr>
                <w:i/>
                <w:sz w:val="22"/>
                <w:szCs w:val="22"/>
              </w:rPr>
              <w:t xml:space="preserve"> </w:t>
            </w:r>
          </w:p>
        </w:tc>
        <w:tc>
          <w:tcPr>
            <w:tcW w:w="425" w:type="dxa"/>
            <w:vAlign w:val="center"/>
          </w:tcPr>
          <w:p w14:paraId="002693F5" w14:textId="77777777" w:rsidR="00736DD1" w:rsidRPr="008734B9" w:rsidRDefault="00736DD1" w:rsidP="00736DD1">
            <w:pPr>
              <w:pStyle w:val="Notes"/>
              <w:spacing w:before="40" w:after="40"/>
              <w:ind w:left="-10"/>
              <w:jc w:val="center"/>
              <w:rPr>
                <w:sz w:val="22"/>
                <w:szCs w:val="22"/>
              </w:rPr>
            </w:pPr>
            <w:r w:rsidRPr="008734B9">
              <w:rPr>
                <w:sz w:val="22"/>
                <w:szCs w:val="22"/>
              </w:rPr>
              <w:t>3</w:t>
            </w:r>
          </w:p>
        </w:tc>
      </w:tr>
      <w:tr w:rsidR="00736DD1" w:rsidRPr="008734B9" w14:paraId="28A6ACDD" w14:textId="77777777" w:rsidTr="004008A2">
        <w:tc>
          <w:tcPr>
            <w:tcW w:w="8784" w:type="dxa"/>
          </w:tcPr>
          <w:p w14:paraId="158E4528" w14:textId="77777777" w:rsidR="00736DD1" w:rsidRPr="008734B9" w:rsidRDefault="00736DD1" w:rsidP="00736DD1">
            <w:pPr>
              <w:pStyle w:val="Notes"/>
              <w:spacing w:before="40" w:after="40"/>
              <w:jc w:val="left"/>
              <w:rPr>
                <w:b/>
                <w:sz w:val="22"/>
                <w:szCs w:val="22"/>
              </w:rPr>
            </w:pPr>
            <w:r>
              <w:rPr>
                <w:b/>
                <w:sz w:val="22"/>
                <w:szCs w:val="22"/>
              </w:rPr>
              <w:t xml:space="preserve">Démonstration interne à la sous-partie </w:t>
            </w:r>
            <w:r w:rsidRPr="008734B9">
              <w:rPr>
                <w:b/>
                <w:sz w:val="22"/>
                <w:szCs w:val="22"/>
              </w:rPr>
              <w:t xml:space="preserve"> </w:t>
            </w:r>
          </w:p>
        </w:tc>
        <w:tc>
          <w:tcPr>
            <w:tcW w:w="425" w:type="dxa"/>
            <w:shd w:val="clear" w:color="auto" w:fill="BFBFBF" w:themeFill="background1" w:themeFillShade="BF"/>
            <w:vAlign w:val="center"/>
          </w:tcPr>
          <w:p w14:paraId="0DFFC7F5" w14:textId="77777777" w:rsidR="00736DD1" w:rsidRPr="008734B9" w:rsidRDefault="00736DD1" w:rsidP="00736DD1">
            <w:pPr>
              <w:pStyle w:val="Notes"/>
              <w:spacing w:before="40" w:after="40"/>
              <w:ind w:left="-10"/>
              <w:jc w:val="center"/>
              <w:rPr>
                <w:b/>
                <w:sz w:val="22"/>
                <w:szCs w:val="22"/>
              </w:rPr>
            </w:pPr>
          </w:p>
        </w:tc>
      </w:tr>
      <w:tr w:rsidR="00736DD1" w:rsidRPr="008734B9" w14:paraId="3C4FD7AF" w14:textId="77777777" w:rsidTr="004008A2">
        <w:tc>
          <w:tcPr>
            <w:tcW w:w="8784" w:type="dxa"/>
          </w:tcPr>
          <w:p w14:paraId="1D42703B" w14:textId="77777777" w:rsidR="00736DD1" w:rsidRPr="008734B9" w:rsidRDefault="00553C52" w:rsidP="00736DD1">
            <w:pPr>
              <w:pStyle w:val="Notes"/>
              <w:spacing w:before="40" w:after="40"/>
              <w:ind w:left="171"/>
              <w:jc w:val="left"/>
              <w:rPr>
                <w:i/>
                <w:sz w:val="22"/>
                <w:szCs w:val="22"/>
              </w:rPr>
            </w:pPr>
            <w:r>
              <w:rPr>
                <w:i/>
                <w:sz w:val="22"/>
                <w:szCs w:val="22"/>
              </w:rPr>
              <w:t xml:space="preserve">La sous-partie ne donne lieu à aucune forme d’analyse ou d’interprétation. </w:t>
            </w:r>
            <w:r>
              <w:rPr>
                <w:i/>
                <w:sz w:val="22"/>
                <w:szCs w:val="22"/>
              </w:rPr>
              <w:br/>
              <w:t xml:space="preserve">Le texte n’est même plus cité en fin de sous-partie, ou bien il ne l’est qu’à des fins illustratives. </w:t>
            </w:r>
          </w:p>
        </w:tc>
        <w:tc>
          <w:tcPr>
            <w:tcW w:w="425" w:type="dxa"/>
            <w:vAlign w:val="center"/>
          </w:tcPr>
          <w:p w14:paraId="18D84806" w14:textId="77777777" w:rsidR="00736DD1" w:rsidRPr="008734B9" w:rsidRDefault="00736DD1" w:rsidP="00736DD1">
            <w:pPr>
              <w:pStyle w:val="Notes"/>
              <w:spacing w:before="40" w:after="40"/>
              <w:ind w:left="-10"/>
              <w:jc w:val="center"/>
              <w:rPr>
                <w:sz w:val="22"/>
                <w:szCs w:val="22"/>
              </w:rPr>
            </w:pPr>
            <w:r>
              <w:rPr>
                <w:sz w:val="22"/>
                <w:szCs w:val="22"/>
              </w:rPr>
              <w:t>0</w:t>
            </w:r>
          </w:p>
        </w:tc>
      </w:tr>
      <w:tr w:rsidR="00736DD1" w:rsidRPr="008734B9" w14:paraId="1A235F7F" w14:textId="77777777" w:rsidTr="004008A2">
        <w:tc>
          <w:tcPr>
            <w:tcW w:w="8784" w:type="dxa"/>
          </w:tcPr>
          <w:p w14:paraId="5E1235AE" w14:textId="77777777" w:rsidR="00736DD1" w:rsidRPr="008734B9" w:rsidRDefault="00553C52" w:rsidP="00736DD1">
            <w:pPr>
              <w:pStyle w:val="Notes"/>
              <w:spacing w:before="40" w:after="40"/>
              <w:ind w:left="171"/>
              <w:jc w:val="left"/>
              <w:rPr>
                <w:i/>
                <w:sz w:val="22"/>
                <w:szCs w:val="22"/>
              </w:rPr>
            </w:pPr>
            <w:r>
              <w:rPr>
                <w:i/>
                <w:sz w:val="22"/>
                <w:szCs w:val="22"/>
              </w:rPr>
              <w:t xml:space="preserve">Une analyse est donnée en début ou fin de sous-partie, </w:t>
            </w:r>
            <w:r>
              <w:rPr>
                <w:i/>
                <w:sz w:val="22"/>
                <w:szCs w:val="22"/>
              </w:rPr>
              <w:br/>
              <w:t xml:space="preserve">mais de façon trop déconnectée des connaissances factuelles pour mettre en exergue un point donné de la source. </w:t>
            </w:r>
            <w:r w:rsidR="00736DD1">
              <w:rPr>
                <w:i/>
                <w:sz w:val="22"/>
                <w:szCs w:val="22"/>
              </w:rPr>
              <w:t xml:space="preserve"> </w:t>
            </w:r>
          </w:p>
        </w:tc>
        <w:tc>
          <w:tcPr>
            <w:tcW w:w="425" w:type="dxa"/>
            <w:vAlign w:val="center"/>
          </w:tcPr>
          <w:p w14:paraId="7BA23DA2" w14:textId="77777777" w:rsidR="00736DD1" w:rsidRPr="008734B9" w:rsidRDefault="00736DD1" w:rsidP="00736DD1">
            <w:pPr>
              <w:pStyle w:val="Notes"/>
              <w:spacing w:before="40" w:after="40"/>
              <w:ind w:left="-10"/>
              <w:jc w:val="center"/>
              <w:rPr>
                <w:sz w:val="22"/>
                <w:szCs w:val="22"/>
              </w:rPr>
            </w:pPr>
            <w:r w:rsidRPr="008734B9">
              <w:rPr>
                <w:sz w:val="22"/>
                <w:szCs w:val="22"/>
              </w:rPr>
              <w:t>1</w:t>
            </w:r>
          </w:p>
        </w:tc>
      </w:tr>
      <w:tr w:rsidR="00736DD1" w:rsidRPr="008734B9" w14:paraId="0F9EF2D9" w14:textId="77777777" w:rsidTr="004008A2">
        <w:tc>
          <w:tcPr>
            <w:tcW w:w="8784" w:type="dxa"/>
          </w:tcPr>
          <w:p w14:paraId="5A13577D" w14:textId="77777777" w:rsidR="00736DD1" w:rsidRPr="008734B9" w:rsidRDefault="00553C52" w:rsidP="00736DD1">
            <w:pPr>
              <w:pStyle w:val="Notes"/>
              <w:spacing w:before="40" w:after="40"/>
              <w:ind w:left="171"/>
              <w:jc w:val="left"/>
              <w:rPr>
                <w:i/>
                <w:sz w:val="22"/>
                <w:szCs w:val="22"/>
              </w:rPr>
            </w:pPr>
            <w:r>
              <w:rPr>
                <w:i/>
                <w:sz w:val="22"/>
                <w:szCs w:val="22"/>
              </w:rPr>
              <w:t>Les connaissances factuelles, précises et liées au texte, permettent d’amener à une analyse plus générale quant aux extraits de la source cités au début de la sous-partie. Cette analyse amène logiquement vers la sous-partie suivante</w:t>
            </w:r>
            <w:r w:rsidR="00736DD1" w:rsidRPr="008734B9">
              <w:rPr>
                <w:i/>
                <w:sz w:val="22"/>
                <w:szCs w:val="22"/>
              </w:rPr>
              <w:t xml:space="preserve">. </w:t>
            </w:r>
          </w:p>
        </w:tc>
        <w:tc>
          <w:tcPr>
            <w:tcW w:w="425" w:type="dxa"/>
            <w:vAlign w:val="center"/>
          </w:tcPr>
          <w:p w14:paraId="331033C6" w14:textId="77777777" w:rsidR="00736DD1" w:rsidRPr="008734B9" w:rsidRDefault="00736DD1" w:rsidP="00736DD1">
            <w:pPr>
              <w:pStyle w:val="Notes"/>
              <w:spacing w:before="40" w:after="40"/>
              <w:ind w:left="-10"/>
              <w:jc w:val="center"/>
              <w:rPr>
                <w:sz w:val="22"/>
                <w:szCs w:val="22"/>
              </w:rPr>
            </w:pPr>
            <w:r w:rsidRPr="008734B9">
              <w:rPr>
                <w:sz w:val="22"/>
                <w:szCs w:val="22"/>
              </w:rPr>
              <w:t>2</w:t>
            </w:r>
          </w:p>
        </w:tc>
      </w:tr>
    </w:tbl>
    <w:p w14:paraId="5FD71FFC" w14:textId="77777777" w:rsidR="00E42CB4" w:rsidRPr="00114D92" w:rsidRDefault="006D1024" w:rsidP="00E42CB4">
      <w:pPr>
        <w:pStyle w:val="Sansinterligne"/>
        <w:rPr>
          <w:sz w:val="24"/>
        </w:rPr>
      </w:pPr>
      <w:r w:rsidRPr="00114D92">
        <w:rPr>
          <w:sz w:val="24"/>
        </w:rPr>
        <w:t>Comprendre son travail et l’améliorer (3) : l</w:t>
      </w:r>
      <w:r w:rsidR="00E42CB4" w:rsidRPr="00114D92">
        <w:rPr>
          <w:sz w:val="24"/>
        </w:rPr>
        <w:t xml:space="preserve">’écriture de la conclusion </w:t>
      </w:r>
    </w:p>
    <w:tbl>
      <w:tblPr>
        <w:tblStyle w:val="Grilledutableau1"/>
        <w:tblW w:w="9209" w:type="dxa"/>
        <w:tblLayout w:type="fixed"/>
        <w:tblLook w:val="04A0" w:firstRow="1" w:lastRow="0" w:firstColumn="1" w:lastColumn="0" w:noHBand="0" w:noVBand="1"/>
      </w:tblPr>
      <w:tblGrid>
        <w:gridCol w:w="8784"/>
        <w:gridCol w:w="425"/>
      </w:tblGrid>
      <w:tr w:rsidR="00E42CB4" w:rsidRPr="008734B9" w14:paraId="5D0DE8DB" w14:textId="77777777" w:rsidTr="002069AB">
        <w:tc>
          <w:tcPr>
            <w:tcW w:w="8784" w:type="dxa"/>
          </w:tcPr>
          <w:p w14:paraId="5AF2E661" w14:textId="77777777" w:rsidR="00E42CB4" w:rsidRDefault="00E42CB4" w:rsidP="002069AB">
            <w:pPr>
              <w:pStyle w:val="Notes"/>
              <w:spacing w:before="40" w:after="40"/>
              <w:jc w:val="left"/>
              <w:rPr>
                <w:b/>
                <w:sz w:val="22"/>
                <w:szCs w:val="22"/>
              </w:rPr>
            </w:pPr>
            <w:r>
              <w:rPr>
                <w:b/>
                <w:sz w:val="22"/>
                <w:szCs w:val="22"/>
              </w:rPr>
              <w:t xml:space="preserve">La conclusion répond à la problématique </w:t>
            </w:r>
            <w:r w:rsidR="00942858">
              <w:rPr>
                <w:b/>
                <w:sz w:val="22"/>
                <w:szCs w:val="22"/>
              </w:rPr>
              <w:t>et prend de la hauteur par rapport à la source</w:t>
            </w:r>
          </w:p>
        </w:tc>
        <w:tc>
          <w:tcPr>
            <w:tcW w:w="425" w:type="dxa"/>
            <w:shd w:val="clear" w:color="auto" w:fill="BFBFBF" w:themeFill="background1" w:themeFillShade="BF"/>
          </w:tcPr>
          <w:p w14:paraId="337CFD4B" w14:textId="77777777" w:rsidR="00E42CB4" w:rsidRPr="008734B9" w:rsidRDefault="00E42CB4" w:rsidP="002069AB">
            <w:pPr>
              <w:pStyle w:val="Notes"/>
              <w:spacing w:before="40" w:after="40"/>
              <w:jc w:val="left"/>
              <w:rPr>
                <w:b/>
                <w:sz w:val="22"/>
                <w:szCs w:val="22"/>
              </w:rPr>
            </w:pPr>
          </w:p>
        </w:tc>
      </w:tr>
      <w:tr w:rsidR="00E42CB4" w:rsidRPr="00736DD1" w14:paraId="333D4D40" w14:textId="77777777" w:rsidTr="002069AB">
        <w:tc>
          <w:tcPr>
            <w:tcW w:w="8784" w:type="dxa"/>
            <w:shd w:val="clear" w:color="auto" w:fill="auto"/>
          </w:tcPr>
          <w:p w14:paraId="79AB05C0" w14:textId="77777777" w:rsidR="00E42CB4" w:rsidRPr="008734B9" w:rsidRDefault="00A34FE5" w:rsidP="002069AB">
            <w:pPr>
              <w:pStyle w:val="Notes"/>
              <w:spacing w:before="60" w:after="60"/>
              <w:ind w:left="171"/>
              <w:jc w:val="left"/>
              <w:rPr>
                <w:i/>
                <w:sz w:val="22"/>
                <w:szCs w:val="22"/>
              </w:rPr>
            </w:pPr>
            <w:r>
              <w:rPr>
                <w:i/>
                <w:sz w:val="22"/>
                <w:szCs w:val="22"/>
              </w:rPr>
              <w:t>La conclusion est déconnectée de la problématique</w:t>
            </w:r>
            <w:r w:rsidR="00E42CB4">
              <w:rPr>
                <w:i/>
                <w:sz w:val="22"/>
                <w:szCs w:val="22"/>
              </w:rPr>
              <w:t>.</w:t>
            </w:r>
            <w:r>
              <w:rPr>
                <w:i/>
                <w:sz w:val="22"/>
                <w:szCs w:val="22"/>
              </w:rPr>
              <w:t xml:space="preserve"> Elle consiste en un simple résumé des éléments du commentaire.  </w:t>
            </w:r>
          </w:p>
        </w:tc>
        <w:tc>
          <w:tcPr>
            <w:tcW w:w="425" w:type="dxa"/>
            <w:shd w:val="clear" w:color="auto" w:fill="auto"/>
            <w:vAlign w:val="center"/>
          </w:tcPr>
          <w:p w14:paraId="3108A20B" w14:textId="77777777" w:rsidR="00E42CB4" w:rsidRPr="00736DD1" w:rsidRDefault="00E42CB4" w:rsidP="002069AB">
            <w:pPr>
              <w:pStyle w:val="Notes"/>
              <w:spacing w:before="40" w:after="40"/>
              <w:jc w:val="center"/>
              <w:rPr>
                <w:sz w:val="22"/>
                <w:szCs w:val="22"/>
              </w:rPr>
            </w:pPr>
            <w:r w:rsidRPr="00736DD1">
              <w:rPr>
                <w:sz w:val="22"/>
                <w:szCs w:val="22"/>
              </w:rPr>
              <w:t>0</w:t>
            </w:r>
          </w:p>
        </w:tc>
      </w:tr>
      <w:tr w:rsidR="00E42CB4" w:rsidRPr="00736DD1" w14:paraId="2DDC8AB7" w14:textId="77777777" w:rsidTr="002069AB">
        <w:tc>
          <w:tcPr>
            <w:tcW w:w="8784" w:type="dxa"/>
            <w:shd w:val="clear" w:color="auto" w:fill="auto"/>
          </w:tcPr>
          <w:p w14:paraId="51C94E24" w14:textId="77777777" w:rsidR="00E42CB4" w:rsidRDefault="00A34FE5" w:rsidP="002069AB">
            <w:pPr>
              <w:pStyle w:val="Notes"/>
              <w:spacing w:before="60" w:after="60"/>
              <w:ind w:left="171"/>
              <w:jc w:val="left"/>
              <w:rPr>
                <w:i/>
                <w:sz w:val="22"/>
                <w:szCs w:val="22"/>
              </w:rPr>
            </w:pPr>
            <w:r>
              <w:rPr>
                <w:i/>
                <w:sz w:val="22"/>
                <w:szCs w:val="22"/>
              </w:rPr>
              <w:t xml:space="preserve">La conclusion </w:t>
            </w:r>
            <w:r w:rsidR="003305D4">
              <w:rPr>
                <w:i/>
                <w:sz w:val="22"/>
                <w:szCs w:val="22"/>
              </w:rPr>
              <w:t>répond à la problématique en la détournant de son sens (faux-sens ou contre-sens)</w:t>
            </w:r>
            <w:r w:rsidR="00E42CB4">
              <w:rPr>
                <w:i/>
                <w:sz w:val="22"/>
                <w:szCs w:val="22"/>
              </w:rPr>
              <w:t xml:space="preserve">. </w:t>
            </w:r>
            <w:r w:rsidR="003305D4">
              <w:rPr>
                <w:i/>
                <w:sz w:val="22"/>
                <w:szCs w:val="22"/>
              </w:rPr>
              <w:br/>
              <w:t xml:space="preserve">L’essentiel de la conclusion est un résumé du commentaire, sans sélection apparente entre les éléments donnés. </w:t>
            </w:r>
          </w:p>
        </w:tc>
        <w:tc>
          <w:tcPr>
            <w:tcW w:w="425" w:type="dxa"/>
            <w:shd w:val="clear" w:color="auto" w:fill="auto"/>
            <w:vAlign w:val="center"/>
          </w:tcPr>
          <w:p w14:paraId="32C79644" w14:textId="77777777" w:rsidR="00E42CB4" w:rsidRPr="00736DD1" w:rsidRDefault="00E42CB4" w:rsidP="002069AB">
            <w:pPr>
              <w:pStyle w:val="Notes"/>
              <w:spacing w:before="40" w:after="40"/>
              <w:jc w:val="center"/>
              <w:rPr>
                <w:sz w:val="22"/>
                <w:szCs w:val="22"/>
              </w:rPr>
            </w:pPr>
            <w:r w:rsidRPr="00736DD1">
              <w:rPr>
                <w:sz w:val="22"/>
                <w:szCs w:val="22"/>
              </w:rPr>
              <w:t>1</w:t>
            </w:r>
          </w:p>
        </w:tc>
      </w:tr>
      <w:tr w:rsidR="00E42CB4" w:rsidRPr="00736DD1" w14:paraId="745E9432" w14:textId="77777777" w:rsidTr="002069AB">
        <w:tc>
          <w:tcPr>
            <w:tcW w:w="8784" w:type="dxa"/>
            <w:shd w:val="clear" w:color="auto" w:fill="auto"/>
          </w:tcPr>
          <w:p w14:paraId="00C26A6C" w14:textId="77777777" w:rsidR="00E42CB4" w:rsidRDefault="003305D4" w:rsidP="002069AB">
            <w:pPr>
              <w:pStyle w:val="Notes"/>
              <w:spacing w:before="60" w:after="60"/>
              <w:ind w:left="171"/>
              <w:jc w:val="left"/>
              <w:rPr>
                <w:i/>
                <w:sz w:val="22"/>
                <w:szCs w:val="22"/>
              </w:rPr>
            </w:pPr>
            <w:r>
              <w:rPr>
                <w:i/>
                <w:sz w:val="22"/>
                <w:szCs w:val="22"/>
              </w:rPr>
              <w:t>La conclusion répond finement à la problématique, sans passer par un résumé in extenso du commentaire</w:t>
            </w:r>
            <w:r w:rsidR="00E42CB4">
              <w:rPr>
                <w:i/>
                <w:sz w:val="22"/>
                <w:szCs w:val="22"/>
              </w:rPr>
              <w:t>.</w:t>
            </w:r>
            <w:r>
              <w:rPr>
                <w:i/>
                <w:sz w:val="22"/>
                <w:szCs w:val="22"/>
              </w:rPr>
              <w:t xml:space="preserve"> </w:t>
            </w:r>
            <w:r>
              <w:rPr>
                <w:i/>
                <w:sz w:val="22"/>
                <w:szCs w:val="22"/>
              </w:rPr>
              <w:br/>
              <w:t xml:space="preserve">Les éléments donnés au cours du développement ne sont repris que ponctuellement, sans être développés à nouveau. </w:t>
            </w:r>
          </w:p>
        </w:tc>
        <w:tc>
          <w:tcPr>
            <w:tcW w:w="425" w:type="dxa"/>
            <w:shd w:val="clear" w:color="auto" w:fill="auto"/>
            <w:vAlign w:val="center"/>
          </w:tcPr>
          <w:p w14:paraId="3D795FD7" w14:textId="77777777" w:rsidR="00E42CB4" w:rsidRPr="00736DD1" w:rsidRDefault="00E42CB4" w:rsidP="002069AB">
            <w:pPr>
              <w:pStyle w:val="Notes"/>
              <w:spacing w:before="40" w:after="40"/>
              <w:jc w:val="center"/>
              <w:rPr>
                <w:sz w:val="22"/>
                <w:szCs w:val="22"/>
              </w:rPr>
            </w:pPr>
            <w:r w:rsidRPr="00736DD1">
              <w:rPr>
                <w:sz w:val="22"/>
                <w:szCs w:val="22"/>
              </w:rPr>
              <w:t>2</w:t>
            </w:r>
          </w:p>
        </w:tc>
      </w:tr>
      <w:tr w:rsidR="00942858" w:rsidRPr="00736DD1" w14:paraId="62F63B84" w14:textId="77777777" w:rsidTr="002069AB">
        <w:tc>
          <w:tcPr>
            <w:tcW w:w="8784" w:type="dxa"/>
            <w:shd w:val="clear" w:color="auto" w:fill="auto"/>
          </w:tcPr>
          <w:p w14:paraId="6B682657" w14:textId="77777777" w:rsidR="00942858" w:rsidRDefault="00942858" w:rsidP="002069AB">
            <w:pPr>
              <w:pStyle w:val="Notes"/>
              <w:spacing w:before="60" w:after="60"/>
              <w:ind w:left="171"/>
              <w:jc w:val="left"/>
              <w:rPr>
                <w:i/>
                <w:sz w:val="22"/>
                <w:szCs w:val="22"/>
              </w:rPr>
            </w:pPr>
            <w:r>
              <w:rPr>
                <w:i/>
                <w:sz w:val="22"/>
                <w:szCs w:val="22"/>
              </w:rPr>
              <w:t xml:space="preserve">Précédent + la conclusion permet de prendre de la hauteur quant au sens de la source et à ses limites </w:t>
            </w:r>
            <w:r>
              <w:rPr>
                <w:i/>
                <w:sz w:val="22"/>
                <w:szCs w:val="22"/>
              </w:rPr>
              <w:br/>
              <w:t xml:space="preserve">(analyse d’un point de vue limité, d’un parti pris important). Elle indique d’autres types de sources </w:t>
            </w:r>
            <w:r>
              <w:rPr>
                <w:i/>
                <w:sz w:val="22"/>
                <w:szCs w:val="22"/>
              </w:rPr>
              <w:br/>
              <w:t xml:space="preserve">qui pourraient permettre d’analyser autrement le même phénomène ou le même événement. </w:t>
            </w:r>
          </w:p>
        </w:tc>
        <w:tc>
          <w:tcPr>
            <w:tcW w:w="425" w:type="dxa"/>
            <w:shd w:val="clear" w:color="auto" w:fill="auto"/>
            <w:vAlign w:val="center"/>
          </w:tcPr>
          <w:p w14:paraId="1593D244" w14:textId="77777777" w:rsidR="00942858" w:rsidRPr="00736DD1" w:rsidRDefault="00942858" w:rsidP="002069AB">
            <w:pPr>
              <w:pStyle w:val="Notes"/>
              <w:spacing w:before="40" w:after="40"/>
              <w:jc w:val="center"/>
              <w:rPr>
                <w:sz w:val="22"/>
                <w:szCs w:val="22"/>
              </w:rPr>
            </w:pPr>
            <w:r>
              <w:rPr>
                <w:sz w:val="22"/>
                <w:szCs w:val="22"/>
              </w:rPr>
              <w:t>3</w:t>
            </w:r>
          </w:p>
        </w:tc>
      </w:tr>
    </w:tbl>
    <w:p w14:paraId="1B56155E" w14:textId="77777777" w:rsidR="00E42CB4" w:rsidRPr="00E42CB4" w:rsidRDefault="00E42CB4" w:rsidP="00E42CB4">
      <w:pPr>
        <w:sectPr w:rsidR="00E42CB4" w:rsidRPr="00E42CB4" w:rsidSect="00331953">
          <w:pgSz w:w="11905" w:h="16837"/>
          <w:pgMar w:top="885" w:right="1417" w:bottom="1417" w:left="1417" w:header="708" w:footer="708" w:gutter="0"/>
          <w:cols w:space="708"/>
          <w:docGrid w:linePitch="360"/>
          <w15:footnoteColumns w:val="2"/>
        </w:sectPr>
      </w:pPr>
    </w:p>
    <w:p w14:paraId="507E6587" w14:textId="77777777" w:rsidR="00753EBC" w:rsidRPr="00607133" w:rsidRDefault="00753EBC" w:rsidP="00F03DA7">
      <w:pPr>
        <w:pStyle w:val="Titre"/>
        <w:rPr>
          <w:rFonts w:cs="Times New Roman"/>
        </w:rPr>
      </w:pPr>
      <w:r w:rsidRPr="00607133">
        <w:rPr>
          <w:rFonts w:cs="Times New Roman"/>
        </w:rPr>
        <w:lastRenderedPageBreak/>
        <w:t xml:space="preserve">Séance 6 </w:t>
      </w:r>
      <w:r w:rsidR="00625DB3">
        <w:rPr>
          <w:rFonts w:cs="Times New Roman"/>
        </w:rPr>
        <w:br/>
        <w:t>Réformes économiques et instabilité sociale au XVIII</w:t>
      </w:r>
      <w:r w:rsidR="00625DB3" w:rsidRPr="00625DB3">
        <w:rPr>
          <w:rFonts w:cs="Times New Roman"/>
          <w:vertAlign w:val="superscript"/>
        </w:rPr>
        <w:t>e</w:t>
      </w:r>
      <w:r w:rsidR="00625DB3">
        <w:rPr>
          <w:rFonts w:cs="Times New Roman"/>
        </w:rPr>
        <w:t xml:space="preserve"> siècle </w:t>
      </w:r>
    </w:p>
    <w:p w14:paraId="1C09D698" w14:textId="77777777" w:rsidR="00625DB3" w:rsidRPr="00DD345C" w:rsidRDefault="00625DB3" w:rsidP="00625DB3">
      <w:pPr>
        <w:pStyle w:val="Sansinterligne"/>
        <w:rPr>
          <w:sz w:val="24"/>
        </w:rPr>
      </w:pPr>
      <w:r w:rsidRPr="00DD345C">
        <w:rPr>
          <w:sz w:val="24"/>
        </w:rPr>
        <w:t xml:space="preserve">Source. La guerre des farines (1775) d’après le lieutenant général de la police de Paris </w:t>
      </w:r>
    </w:p>
    <w:p w14:paraId="407A43EF" w14:textId="77777777" w:rsidR="00753EBC" w:rsidRPr="009A2A76" w:rsidRDefault="00753EBC" w:rsidP="00753EBC">
      <w:pPr>
        <w:rPr>
          <w:rFonts w:cs="Times New Roman"/>
          <w:sz w:val="23"/>
          <w:szCs w:val="23"/>
        </w:rPr>
      </w:pPr>
      <w:r w:rsidRPr="009A2A76">
        <w:rPr>
          <w:rFonts w:cs="Times New Roman"/>
          <w:sz w:val="23"/>
          <w:szCs w:val="23"/>
        </w:rPr>
        <w:t>« Les différentes opinions sur le commerce et la législation des grains sont connues. On a publié dans une infinité de livres sur ces matières beaucoup de vérités, aussi beaucoup d’erreurs. Les controverses, les systèmes n’ont pu amener les esprits à un même sentiment : les évènements et l’expérience devraient enfin fixer les principes et servir de règles de conduite dans l’administration de cette branche de la police générale.</w:t>
      </w:r>
    </w:p>
    <w:p w14:paraId="2D8D02F0" w14:textId="77777777" w:rsidR="00753EBC" w:rsidRPr="009A2A76" w:rsidRDefault="00753EBC" w:rsidP="00753EBC">
      <w:pPr>
        <w:rPr>
          <w:rFonts w:cs="Times New Roman"/>
          <w:sz w:val="23"/>
          <w:szCs w:val="23"/>
        </w:rPr>
      </w:pPr>
      <w:r w:rsidRPr="009A2A76">
        <w:rPr>
          <w:rFonts w:cs="Times New Roman"/>
          <w:sz w:val="23"/>
          <w:szCs w:val="23"/>
        </w:rPr>
        <w:t>Il y avait eu à Paris peu d’insurrections populaires, tant qu’on y avait tenu la main à l’observation des anciennes ordonnances. J’étais depuis peu de mois pourvu de la charge de lieutenant général de police, lorsqu’en 1774 M. Turgot, ministre des finances, me demanda quel était mon sentiment sur la liberté du commerce des grains. Je lui répondis que je croyais devoir suivre les errements de mes prédécesseurs. Il m’ordonna de lui expliquer dans un mémoire quels étaient les usages de la police concernant les approvisionnements. À l’aide du plus ancien des chefs de mes bureaux, je le rédigeai, et je ne tardai pas de le lui remettre. Ce ministre ne fit qu’y jeter les yeux et me dit : « Je vais l’envoyer à l’abbé Baudot [Baudeau]. Il y répondra, et bientôt il aura mis en poussière toutes ces vieilles maximes erronées ». Peu de jours après parurent imprimés beaucoup d’écrits dans lesquels on traitait comme mauvaises toutes mesures quelconques de police pour l’approvisionnement de Paris.</w:t>
      </w:r>
    </w:p>
    <w:p w14:paraId="15B6863C" w14:textId="77777777" w:rsidR="00753EBC" w:rsidRPr="009A2A76" w:rsidRDefault="00753EBC" w:rsidP="00742710">
      <w:pPr>
        <w:rPr>
          <w:rFonts w:cs="Times New Roman"/>
          <w:sz w:val="23"/>
          <w:szCs w:val="23"/>
        </w:rPr>
      </w:pPr>
      <w:r w:rsidRPr="009A2A76">
        <w:rPr>
          <w:rFonts w:cs="Times New Roman"/>
          <w:sz w:val="23"/>
          <w:szCs w:val="23"/>
        </w:rPr>
        <w:t xml:space="preserve">Dans le même temps M. Necker m’adressa le manuscrit de son ouvrage sur le commerce et la législation des grains, en demandant la permission de l’imprimer. Je crus devoir en prévenir M. Turgot. Il m’indiqua pour l’examen un censeur qui n’y trouva rien qui dût en empêcher l’impression. M. Turgot aurait voulu pouvoir s’y opposer ; seulement il fit ajouter à l’avis du censeur une sorte d’improbation des principes </w:t>
      </w:r>
      <w:r w:rsidR="00742710" w:rsidRPr="009A2A76">
        <w:rPr>
          <w:rFonts w:cs="Times New Roman"/>
          <w:sz w:val="23"/>
          <w:szCs w:val="23"/>
        </w:rPr>
        <w:t xml:space="preserve">[qui] </w:t>
      </w:r>
      <w:r w:rsidRPr="009A2A76">
        <w:rPr>
          <w:rFonts w:cs="Times New Roman"/>
          <w:sz w:val="23"/>
          <w:szCs w:val="23"/>
        </w:rPr>
        <w:t>y</w:t>
      </w:r>
      <w:r w:rsidR="00742710" w:rsidRPr="009A2A76">
        <w:rPr>
          <w:rFonts w:cs="Times New Roman"/>
          <w:sz w:val="23"/>
          <w:szCs w:val="23"/>
        </w:rPr>
        <w:t xml:space="preserve"> [étaient]</w:t>
      </w:r>
      <w:r w:rsidRPr="009A2A76">
        <w:rPr>
          <w:rFonts w:cs="Times New Roman"/>
          <w:sz w:val="23"/>
          <w:szCs w:val="23"/>
        </w:rPr>
        <w:t xml:space="preserve"> établis. L’ouvrage de M. Necker fut fort répandu. M. Turgot s’efforça vainement de le discréditer. Il faisait imprimer des Lettres de M. Condorcet, qui n’eurent pas le même succès ; elles n’avaient pas de débit. </w:t>
      </w:r>
      <w:r w:rsidR="00742710" w:rsidRPr="009A2A76">
        <w:rPr>
          <w:rFonts w:cs="Times New Roman"/>
          <w:sz w:val="23"/>
          <w:szCs w:val="23"/>
        </w:rPr>
        <w:t>[…]</w:t>
      </w:r>
      <w:r w:rsidRPr="009A2A76">
        <w:rPr>
          <w:rFonts w:cs="Times New Roman"/>
          <w:sz w:val="23"/>
          <w:szCs w:val="23"/>
        </w:rPr>
        <w:t>.</w:t>
      </w:r>
    </w:p>
    <w:p w14:paraId="1648657F" w14:textId="77777777" w:rsidR="00753EBC" w:rsidRPr="009A2A76" w:rsidRDefault="00753EBC" w:rsidP="00753EBC">
      <w:pPr>
        <w:rPr>
          <w:rFonts w:cs="Times New Roman"/>
          <w:sz w:val="23"/>
          <w:szCs w:val="23"/>
        </w:rPr>
      </w:pPr>
      <w:r w:rsidRPr="009A2A76">
        <w:rPr>
          <w:rFonts w:cs="Times New Roman"/>
          <w:sz w:val="23"/>
          <w:szCs w:val="23"/>
        </w:rPr>
        <w:t>Ce fut vers le mois d’avril de l’année suivante</w:t>
      </w:r>
      <w:r w:rsidR="00DD2962" w:rsidRPr="009A2A76">
        <w:rPr>
          <w:rFonts w:cs="Times New Roman"/>
          <w:sz w:val="23"/>
          <w:szCs w:val="23"/>
        </w:rPr>
        <w:t xml:space="preserve"> [1775]</w:t>
      </w:r>
      <w:r w:rsidRPr="009A2A76">
        <w:rPr>
          <w:rFonts w:cs="Times New Roman"/>
          <w:sz w:val="23"/>
          <w:szCs w:val="23"/>
        </w:rPr>
        <w:t xml:space="preserve"> que commencèrent dans quelques provinces des troubles à l’occasion de la disette des grains et de la cherté du pain. Paris était peu approvisionné de farines. Les moyens qui en eussent fait apporter de plus grandes quantités avaient été interrompus. Je ne pouvais employer que ceux qui eussent été plus de confiance que d’usage ; ils auraient pu encore suffire, si je n’eusse pas été traversé. M. Turgot m’avait remis une décision de la main du roi par laquelle il m’était enjoint de me conformer uniquement aux ordres de son contrôleur général sur les objets de police relatifs à son ministère. En me la remettant, il me recommanda expressément de laisser toute liberté au commerce, qui porterait là où le besoin l’appellerait. Toutes précautions de police à ce sujet, me dit-il, ne sont que fâcheuses et inutiles.</w:t>
      </w:r>
    </w:p>
    <w:p w14:paraId="726A675D" w14:textId="77777777" w:rsidR="00753EBC" w:rsidRPr="009A2A76" w:rsidRDefault="00753EBC" w:rsidP="00753EBC">
      <w:pPr>
        <w:rPr>
          <w:rFonts w:cs="Times New Roman"/>
          <w:sz w:val="23"/>
          <w:szCs w:val="23"/>
        </w:rPr>
      </w:pPr>
      <w:r w:rsidRPr="009A2A76">
        <w:rPr>
          <w:rFonts w:cs="Times New Roman"/>
          <w:sz w:val="23"/>
          <w:szCs w:val="23"/>
        </w:rPr>
        <w:t>Je lui demandai s’il entendait comprendre dans les précautions de police les mesures ordinaires de sûreté. Oui sans doute, répliqua-t-il, il ne faut ni commissaires ni gardes dans l’intérieur des halles et marché publics, dont on pourrait même se passer au dehors. Ils doivent s’en tenir éloignés à une bonne distance et ne pas inquiéter par leur présence les vendeurs et les acheteurs. Il m’ajouta qu’il avait fait punir à Dijon un officier de police qui s’était porté, sans y avoir été requis, dans un marché de bleds.</w:t>
      </w:r>
    </w:p>
    <w:p w14:paraId="770C5DC2" w14:textId="77777777" w:rsidR="00753EBC" w:rsidRPr="009A2A76" w:rsidRDefault="00753EBC" w:rsidP="00753EBC">
      <w:pPr>
        <w:rPr>
          <w:rFonts w:cs="Times New Roman"/>
          <w:sz w:val="23"/>
          <w:szCs w:val="23"/>
        </w:rPr>
      </w:pPr>
      <w:r w:rsidRPr="009A2A76">
        <w:rPr>
          <w:rFonts w:cs="Times New Roman"/>
          <w:sz w:val="23"/>
          <w:szCs w:val="23"/>
        </w:rPr>
        <w:t>M. Turgot, après m’avoir intimé ainsi des ordres fort opposés à ce qui avait été de tout temps prescrit aux juges et administrateurs de police, avait cessé d’avoir avec moi aucun des rapports accoutumés touchant les vivres, subsistances et approvisionnements de Paris. […]</w:t>
      </w:r>
    </w:p>
    <w:p w14:paraId="3075C8CC" w14:textId="77777777" w:rsidR="00007DD5" w:rsidRPr="009A2A76" w:rsidRDefault="00753EBC" w:rsidP="00007DD5">
      <w:pPr>
        <w:rPr>
          <w:rFonts w:cs="Times New Roman"/>
          <w:sz w:val="23"/>
          <w:szCs w:val="23"/>
        </w:rPr>
      </w:pPr>
      <w:r w:rsidRPr="009A2A76">
        <w:rPr>
          <w:rFonts w:cs="Times New Roman"/>
          <w:sz w:val="23"/>
          <w:szCs w:val="23"/>
        </w:rPr>
        <w:lastRenderedPageBreak/>
        <w:t>Cependant, le commerce n’apportait plus que peu de farines à Paris ; les laboureurs qui ne se voyaient plus encouragés par la police, et qui étaient intimidés par les bruits des pillages faits dans les marchés de province, ne paraissaient ni dans les marchés de Paris, ni dans ceux des environs. On annonçait dans tous les quartiers de la capitale que bientôt il y aura disette et famine. L’alarme se répandait, et mon devoir était moins celui d’informer du danger le seul ministre qui avait à cet égard le pouvoir de m’ordonner. […] J’avais adressé en cinq jours de temps jusqu’à neuf lettres à M. Turgot. Elles étaient pressantes, et toutes étaient demeurées sans réponses. Impatient de savoir ce que je devais faire, j’écrivis à M. Albert, qui était alors intendant du commerce chargé du département général des subsistances du royaume. Il me fit cette courte réponse : « le ministre a reçu toutes vos lettres ; vous ne devez pas douter de ses principes et les suivre ; je ne sais pourquoi vous vous alarmez ; j’ai vu le pain à Paris à plus de six sols la livre, et je n’en ai pas été effrayé ». Le lendemain de la réponse de M. Albert, il y eut à Versailles un grand soulèvement. […]</w:t>
      </w:r>
    </w:p>
    <w:p w14:paraId="31A5148D" w14:textId="77777777" w:rsidR="00753EBC" w:rsidRPr="009A2A76" w:rsidRDefault="00753EBC" w:rsidP="009A2A76">
      <w:pPr>
        <w:rPr>
          <w:rFonts w:cs="Times New Roman"/>
          <w:sz w:val="23"/>
          <w:szCs w:val="23"/>
        </w:rPr>
      </w:pPr>
      <w:r w:rsidRPr="009A2A76">
        <w:rPr>
          <w:rFonts w:cs="Times New Roman"/>
          <w:sz w:val="23"/>
          <w:szCs w:val="23"/>
        </w:rPr>
        <w:t>Le 3 mai, entre sept et huit heures du matin, j’eus avis par les commis aux barrières qu’on avait vu passer un assez grand nombre de paysans entrant à Paris, mais que, presque tous chargés de légumes et d’asperges, ils semblaient n’avoir d’autre dessein que de venir vendre leurs marchandises. […] Cependant on s’attroupait vers la Halle aux Farines. […] Ce pillage avait un caractère particulier. Le peuple s’y conduisait sans violence. Les boutiques des boulangers furent pillées, mais celles des pâtissiers et des marchands d’autres comestibles exposées également à la vue publique dument respectées. Vers onze heures du matin le tumulte avait paru apaisé. J’allais à l’hôtel du contrôle général pour recevoir les ordres de M. Turgot, qui ne m’en donna pas. […] Le lendemain quatre mai, à sept heures du matin, M. Turgot me fit remettre par son secrétaire la lettre du roi par laquelle Sa Majesté m’ordonnait de lui adresser ma démission. »</w:t>
      </w:r>
    </w:p>
    <w:p w14:paraId="251221EB" w14:textId="77777777" w:rsidR="00753EBC" w:rsidRPr="00990B12" w:rsidRDefault="00990B12" w:rsidP="00990B12">
      <w:pPr>
        <w:pStyle w:val="Notes"/>
        <w:spacing w:before="120"/>
        <w:jc w:val="right"/>
        <w:rPr>
          <w:rFonts w:cs="Times New Roman"/>
          <w:sz w:val="16"/>
          <w:szCs w:val="20"/>
        </w:rPr>
      </w:pPr>
      <w:r w:rsidRPr="00990B12">
        <w:rPr>
          <w:rFonts w:cs="Times New Roman"/>
          <w:i/>
          <w:szCs w:val="20"/>
        </w:rPr>
        <w:t>Mémoires de J.C.P. Lenoir, ancien lieutenant général de police de Pari</w:t>
      </w:r>
      <w:r>
        <w:rPr>
          <w:rFonts w:cs="Times New Roman"/>
          <w:i/>
          <w:szCs w:val="20"/>
        </w:rPr>
        <w:t>s,</w:t>
      </w:r>
      <w:r w:rsidR="00233EB4">
        <w:rPr>
          <w:rFonts w:cs="Times New Roman"/>
          <w:i/>
          <w:szCs w:val="20"/>
        </w:rPr>
        <w:t xml:space="preserve"> </w:t>
      </w:r>
      <w:r w:rsidRPr="00990B12">
        <w:rPr>
          <w:rFonts w:cs="Times New Roman"/>
          <w:i/>
          <w:szCs w:val="20"/>
        </w:rPr>
        <w:t>écrits en pays étrangers dans les années 1790 et suivantes</w:t>
      </w:r>
      <w:r w:rsidR="00753EBC" w:rsidRPr="00990B12">
        <w:rPr>
          <w:rFonts w:cs="Times New Roman"/>
          <w:szCs w:val="20"/>
        </w:rPr>
        <w:t xml:space="preserve">, </w:t>
      </w:r>
      <w:r>
        <w:rPr>
          <w:rFonts w:cs="Times New Roman"/>
          <w:szCs w:val="20"/>
        </w:rPr>
        <w:br/>
      </w:r>
      <w:r w:rsidRPr="00990B12">
        <w:rPr>
          <w:rFonts w:cs="Times New Roman"/>
          <w:szCs w:val="20"/>
        </w:rPr>
        <w:t xml:space="preserve">éd. Vincent </w:t>
      </w:r>
      <w:proofErr w:type="spellStart"/>
      <w:r w:rsidRPr="005B53B6">
        <w:rPr>
          <w:rFonts w:cs="Times New Roman"/>
          <w:smallCaps/>
          <w:szCs w:val="20"/>
        </w:rPr>
        <w:t>Mill</w:t>
      </w:r>
      <w:r w:rsidR="005B53B6" w:rsidRPr="005B53B6">
        <w:rPr>
          <w:rFonts w:cs="Times New Roman"/>
          <w:smallCaps/>
          <w:szCs w:val="20"/>
        </w:rPr>
        <w:t>i</w:t>
      </w:r>
      <w:r w:rsidRPr="005B53B6">
        <w:rPr>
          <w:rFonts w:cs="Times New Roman"/>
          <w:smallCaps/>
          <w:szCs w:val="20"/>
        </w:rPr>
        <w:t>ot</w:t>
      </w:r>
      <w:proofErr w:type="spellEnd"/>
      <w:r w:rsidRPr="00990B12">
        <w:rPr>
          <w:rFonts w:cs="Times New Roman"/>
          <w:szCs w:val="20"/>
        </w:rPr>
        <w:t>, Seyssel, Champ Vallon, 2011, p.</w:t>
      </w:r>
      <w:r w:rsidR="00625DB3">
        <w:rPr>
          <w:rFonts w:cs="Times New Roman"/>
          <w:szCs w:val="20"/>
        </w:rPr>
        <w:t xml:space="preserve"> 546-555</w:t>
      </w:r>
      <w:r w:rsidR="00753EBC" w:rsidRPr="00607133">
        <w:rPr>
          <w:rFonts w:cs="Times New Roman"/>
          <w:szCs w:val="20"/>
        </w:rPr>
        <w:t>.</w:t>
      </w:r>
    </w:p>
    <w:p w14:paraId="43ABECCB" w14:textId="77777777" w:rsidR="00DD2719" w:rsidRDefault="00DD2719" w:rsidP="00DD2719">
      <w:pPr>
        <w:pStyle w:val="Sansinterligne"/>
      </w:pPr>
      <w:r>
        <w:t xml:space="preserve">Bibliographie indicative </w:t>
      </w:r>
    </w:p>
    <w:p w14:paraId="35A7F8F8" w14:textId="77777777" w:rsidR="00A96340" w:rsidRDefault="00A96340" w:rsidP="00A96340">
      <w:pPr>
        <w:pStyle w:val="Biblio"/>
        <w:rPr>
          <w:sz w:val="20"/>
        </w:rPr>
      </w:pPr>
      <w:r w:rsidRPr="00233EB4">
        <w:rPr>
          <w:smallCaps/>
          <w:sz w:val="20"/>
        </w:rPr>
        <w:t>Beaurepaire</w:t>
      </w:r>
      <w:r w:rsidRPr="00233EB4">
        <w:rPr>
          <w:sz w:val="20"/>
        </w:rPr>
        <w:t xml:space="preserve">, Pierre-Yves, </w:t>
      </w:r>
      <w:r w:rsidRPr="00233EB4">
        <w:rPr>
          <w:i/>
          <w:sz w:val="20"/>
        </w:rPr>
        <w:t>La France des Lumières, 1715-1789</w:t>
      </w:r>
      <w:r w:rsidRPr="00233EB4">
        <w:rPr>
          <w:sz w:val="20"/>
        </w:rPr>
        <w:t>, Paris, Belin, 2011, p. 625-650.</w:t>
      </w:r>
    </w:p>
    <w:p w14:paraId="0807180A" w14:textId="77777777" w:rsidR="00066644" w:rsidRPr="00066644" w:rsidRDefault="00066644" w:rsidP="00A96340">
      <w:pPr>
        <w:pStyle w:val="Biblio"/>
        <w:rPr>
          <w:sz w:val="20"/>
        </w:rPr>
      </w:pPr>
      <w:r w:rsidRPr="00066644">
        <w:rPr>
          <w:smallCaps/>
          <w:sz w:val="20"/>
        </w:rPr>
        <w:t>Bouton</w:t>
      </w:r>
      <w:r>
        <w:rPr>
          <w:sz w:val="20"/>
        </w:rPr>
        <w:t xml:space="preserve">, Cynthia A., « L’économie morale et la guerre des farines de 1775 », dans F. </w:t>
      </w:r>
      <w:r w:rsidRPr="00066644">
        <w:rPr>
          <w:smallCaps/>
          <w:sz w:val="20"/>
        </w:rPr>
        <w:t>Gauthier</w:t>
      </w:r>
      <w:r>
        <w:rPr>
          <w:sz w:val="20"/>
        </w:rPr>
        <w:t xml:space="preserve"> et G.-R. </w:t>
      </w:r>
      <w:proofErr w:type="spellStart"/>
      <w:r w:rsidRPr="00066644">
        <w:rPr>
          <w:smallCaps/>
          <w:sz w:val="20"/>
        </w:rPr>
        <w:t>Ikni</w:t>
      </w:r>
      <w:proofErr w:type="spellEnd"/>
      <w:r>
        <w:rPr>
          <w:sz w:val="20"/>
        </w:rPr>
        <w:t xml:space="preserve"> (dir.), </w:t>
      </w:r>
      <w:r>
        <w:rPr>
          <w:i/>
          <w:sz w:val="20"/>
        </w:rPr>
        <w:t>La guerre du blé au XVIIIe siècle. La critique populaire de la liberté économique</w:t>
      </w:r>
      <w:r>
        <w:rPr>
          <w:sz w:val="20"/>
        </w:rPr>
        <w:t xml:space="preserve">, Paris, Éditions </w:t>
      </w:r>
      <w:proofErr w:type="spellStart"/>
      <w:r>
        <w:rPr>
          <w:sz w:val="20"/>
        </w:rPr>
        <w:t>Kimé</w:t>
      </w:r>
      <w:proofErr w:type="spellEnd"/>
      <w:r>
        <w:rPr>
          <w:sz w:val="20"/>
        </w:rPr>
        <w:t xml:space="preserve">, 2019, p. 131-152. </w:t>
      </w:r>
    </w:p>
    <w:p w14:paraId="1331F839" w14:textId="77777777" w:rsidR="00DD2719" w:rsidRPr="00233EB4" w:rsidRDefault="00990B12" w:rsidP="00990B12">
      <w:pPr>
        <w:pStyle w:val="Biblio"/>
        <w:rPr>
          <w:rFonts w:cs="Times New Roman"/>
          <w:sz w:val="20"/>
          <w:szCs w:val="20"/>
        </w:rPr>
      </w:pPr>
      <w:proofErr w:type="spellStart"/>
      <w:r w:rsidRPr="00233EB4">
        <w:rPr>
          <w:smallCaps/>
          <w:sz w:val="20"/>
        </w:rPr>
        <w:t>Darnton</w:t>
      </w:r>
      <w:proofErr w:type="spellEnd"/>
      <w:r w:rsidRPr="00233EB4">
        <w:rPr>
          <w:sz w:val="20"/>
        </w:rPr>
        <w:t xml:space="preserve">, Robert, </w:t>
      </w:r>
      <w:r w:rsidRPr="00233EB4">
        <w:rPr>
          <w:rFonts w:cs="Times New Roman"/>
          <w:sz w:val="20"/>
          <w:szCs w:val="20"/>
        </w:rPr>
        <w:t xml:space="preserve">« Le lieutenant de police T. P. Lenoir, la guerre des farines et l'approvisionnement de Paris à la veille de la Révolution », </w:t>
      </w:r>
      <w:r w:rsidRPr="00233EB4">
        <w:rPr>
          <w:rStyle w:val="Accentuation"/>
          <w:rFonts w:cs="Times New Roman"/>
          <w:sz w:val="20"/>
          <w:szCs w:val="20"/>
        </w:rPr>
        <w:t>Revue d’histoire moderne et contemporaine</w:t>
      </w:r>
      <w:r w:rsidRPr="00233EB4">
        <w:rPr>
          <w:rFonts w:cs="Times New Roman"/>
          <w:sz w:val="20"/>
          <w:szCs w:val="20"/>
        </w:rPr>
        <w:t xml:space="preserve">, 16/4, 1969, p. 611-624 (disponible sur Persée). </w:t>
      </w:r>
    </w:p>
    <w:p w14:paraId="7F0C6C35" w14:textId="77777777" w:rsidR="00233EB4" w:rsidRPr="00233EB4" w:rsidRDefault="00233EB4" w:rsidP="00990B12">
      <w:pPr>
        <w:pStyle w:val="Biblio"/>
        <w:rPr>
          <w:rFonts w:cs="Times New Roman"/>
          <w:sz w:val="20"/>
          <w:szCs w:val="20"/>
        </w:rPr>
      </w:pPr>
      <w:r w:rsidRPr="00233EB4">
        <w:rPr>
          <w:rFonts w:cs="Times New Roman"/>
          <w:smallCaps/>
          <w:sz w:val="20"/>
          <w:szCs w:val="20"/>
        </w:rPr>
        <w:t>Kaplan</w:t>
      </w:r>
      <w:r w:rsidRPr="00233EB4">
        <w:rPr>
          <w:rFonts w:cs="Times New Roman"/>
          <w:sz w:val="20"/>
          <w:szCs w:val="20"/>
        </w:rPr>
        <w:t xml:space="preserve">, Steven L., </w:t>
      </w:r>
      <w:r w:rsidRPr="00233EB4">
        <w:rPr>
          <w:rFonts w:cs="Times New Roman"/>
          <w:i/>
          <w:sz w:val="20"/>
          <w:szCs w:val="20"/>
        </w:rPr>
        <w:t>Raisonner sur les blés. Essais sur les Lumières économiques</w:t>
      </w:r>
      <w:r w:rsidRPr="00233EB4">
        <w:rPr>
          <w:rFonts w:cs="Times New Roman"/>
          <w:sz w:val="20"/>
          <w:szCs w:val="20"/>
        </w:rPr>
        <w:t xml:space="preserve">, Paris, Fayard, 2017, p. 567-656. </w:t>
      </w:r>
    </w:p>
    <w:p w14:paraId="1AA034BA" w14:textId="77777777" w:rsidR="00DD345C" w:rsidRPr="00233EB4" w:rsidRDefault="001D3D10" w:rsidP="009A2A76">
      <w:pPr>
        <w:pStyle w:val="Biblio"/>
        <w:rPr>
          <w:rFonts w:cs="Times New Roman"/>
          <w:sz w:val="20"/>
          <w:szCs w:val="20"/>
        </w:rPr>
      </w:pPr>
      <w:proofErr w:type="spellStart"/>
      <w:r w:rsidRPr="00233EB4">
        <w:rPr>
          <w:rFonts w:cs="Times New Roman"/>
          <w:smallCaps/>
          <w:sz w:val="20"/>
          <w:szCs w:val="20"/>
        </w:rPr>
        <w:t>Milliot</w:t>
      </w:r>
      <w:proofErr w:type="spellEnd"/>
      <w:r w:rsidRPr="00233EB4">
        <w:rPr>
          <w:rFonts w:cs="Times New Roman"/>
          <w:sz w:val="20"/>
          <w:szCs w:val="20"/>
        </w:rPr>
        <w:t xml:space="preserve">, Vincent, </w:t>
      </w:r>
      <w:r w:rsidRPr="00233EB4">
        <w:rPr>
          <w:rFonts w:cs="Times New Roman"/>
          <w:i/>
          <w:sz w:val="20"/>
          <w:szCs w:val="20"/>
        </w:rPr>
        <w:t>Histoire des polices en France, des guerres de religion à nos jours</w:t>
      </w:r>
      <w:r w:rsidRPr="00233EB4">
        <w:rPr>
          <w:rFonts w:cs="Times New Roman"/>
          <w:sz w:val="20"/>
          <w:szCs w:val="20"/>
        </w:rPr>
        <w:t xml:space="preserve">, Paris, Belin, 2020. </w:t>
      </w:r>
    </w:p>
    <w:p w14:paraId="0F1386A2" w14:textId="77777777" w:rsidR="00DD2719" w:rsidRPr="00066644" w:rsidRDefault="00DD2719" w:rsidP="00066644">
      <w:pPr>
        <w:pStyle w:val="Sansinterligne"/>
        <w:spacing w:after="120"/>
        <w:rPr>
          <w:sz w:val="23"/>
          <w:szCs w:val="23"/>
        </w:rPr>
      </w:pPr>
      <w:r w:rsidRPr="00066644">
        <w:rPr>
          <w:sz w:val="23"/>
          <w:szCs w:val="23"/>
        </w:rPr>
        <w:t>Documents annexes</w:t>
      </w:r>
    </w:p>
    <w:p w14:paraId="7B20BE21" w14:textId="77777777" w:rsidR="00DD2719" w:rsidRDefault="00DD2719" w:rsidP="00066644">
      <w:pPr>
        <w:pStyle w:val="Sansinterligne"/>
        <w:spacing w:before="120"/>
      </w:pPr>
      <w:r>
        <w:t xml:space="preserve">1. </w:t>
      </w:r>
      <w:r w:rsidR="003032DD">
        <w:t>Turgot et la réponse libérale à la crise économique des années 1770 </w:t>
      </w:r>
    </w:p>
    <w:p w14:paraId="322AEA8E" w14:textId="77777777" w:rsidR="002B6079" w:rsidRPr="00767046" w:rsidRDefault="002B6079" w:rsidP="002B6079">
      <w:pPr>
        <w:rPr>
          <w:rFonts w:cs="Times New Roman"/>
        </w:rPr>
      </w:pPr>
      <w:r w:rsidRPr="00767046">
        <w:t xml:space="preserve">Le programme économique de Turgot se trouve là déjà formulé. Loin de louer le commerce et les échanges juteux qui se font dans les grandes foires internationales, il y voit au contraire la manifestation du dérèglement économique et fiscal du royaume. C’est bien parce que partout et en tout domaine l’entrave à la circulation et à la commercialisation des fruits de la production est la règle, qu’il a fallu créer des espaces francs et privilégiés, les foires, pour apporter un peu d’air à un système économique. L’effet est pervers parce qu’il permet en retour le maintien de la contrainte comme règle générale. Turgot entend donc favoriser la libéralisation des échanges qui doit profiter au plus grand nombre, en permettant notamment l’écoulement des surplus sur un marché plus vaste et en parvenant au bon prix, rémunérateur pour le producteur, accessible à l’acheteur et débarrassé des surcharges d’innombrables intermédiaires. On a là clairement </w:t>
      </w:r>
      <w:r w:rsidRPr="00767046">
        <w:lastRenderedPageBreak/>
        <w:t xml:space="preserve">l’origine du retour à la libre circulation des grains que décide Turgot moins d’un mois après avoir écrit sa lettre programme au roi. </w:t>
      </w:r>
      <w:r w:rsidRPr="00767046">
        <w:rPr>
          <w:rFonts w:cs="Times New Roman"/>
        </w:rPr>
        <w:t xml:space="preserve">[…] </w:t>
      </w:r>
    </w:p>
    <w:p w14:paraId="33751916" w14:textId="77777777" w:rsidR="002B6079" w:rsidRPr="00767046" w:rsidRDefault="002B6079" w:rsidP="002B6079">
      <w:pPr>
        <w:rPr>
          <w:rFonts w:cs="Times New Roman"/>
        </w:rPr>
      </w:pPr>
      <w:r w:rsidRPr="00767046">
        <w:rPr>
          <w:rFonts w:cs="Times New Roman"/>
        </w:rPr>
        <w:t>Reste à Turgot à enclencher aussi vite que possible le train des réformes tout en contenant les oppositions qu’elles ne manqueront pas de susciter. Très vite, c’est l’objet de l’édit du 13 septembre 1774 qui rétablit la libre circulation des grains. […] L’enjeu est donc majeur à tous les niveaux : améliorer la subsistance du royaume, rétablir l’image royale, montrer la capacité à appliquer son programme réformateur, à emporter l’adhésion et à faire plier les oppositions. La prise de risque politique est énorme.</w:t>
      </w:r>
    </w:p>
    <w:p w14:paraId="2E50301E" w14:textId="77777777" w:rsidR="002B6079" w:rsidRPr="00767046" w:rsidRDefault="002B6079" w:rsidP="002B6079">
      <w:pPr>
        <w:rPr>
          <w:rFonts w:cs="Times New Roman"/>
        </w:rPr>
      </w:pPr>
      <w:r w:rsidRPr="00767046">
        <w:rPr>
          <w:rFonts w:cs="Times New Roman"/>
        </w:rPr>
        <w:t xml:space="preserve">Le préambule de l’édit royal se place clairement dans la logique du rétablissement. Il s’agit de renouer avec le régime de la liberté qui est une loi naturelle et dans devenir une authentique loi fondamentale, dans le sens que l’expression a chez Montesquieu, […]. La libre concurrence garantira seule des prix accessibles aux consommateurs. La liberté du commerce est étendue à la quasi-totalité du royaume et doit à terme être élargie à l’exportation des grains. </w:t>
      </w:r>
    </w:p>
    <w:p w14:paraId="5552C18B" w14:textId="77777777" w:rsidR="002B6079" w:rsidRPr="00767046" w:rsidRDefault="002B6079" w:rsidP="002B6079">
      <w:pPr>
        <w:rPr>
          <w:rFonts w:cs="Times New Roman"/>
        </w:rPr>
      </w:pPr>
      <w:r w:rsidRPr="00767046">
        <w:rPr>
          <w:rFonts w:cs="Times New Roman"/>
        </w:rPr>
        <w:t xml:space="preserve">Le contexte est cependant particulièrement défavorable à un changement aussi délicat, et pas seulement en raison des médiocres récoltes de 1774 et de 1775. On oublie trop souvent que la rumeur du complot de famine n’a pas disparu […]. Bien au contraire, elle connaît une forte résurgence pendant les derniers mois du règne de Louis XV et vise tout particulièrement le contrôleur général Terray accusé de favoriser le monopole sur les blés, sa libre exportation et donc la spéculation, la raréfaction des blés sur les marchés et les prix élevés, comme le libraire Hardy s’en fait l’écho dans ses </w:t>
      </w:r>
      <w:r w:rsidRPr="00767046">
        <w:rPr>
          <w:rFonts w:cs="Times New Roman"/>
          <w:i/>
        </w:rPr>
        <w:t>Loisirs</w:t>
      </w:r>
      <w:r w:rsidRPr="00767046">
        <w:rPr>
          <w:rFonts w:cs="Times New Roman"/>
        </w:rPr>
        <w:t xml:space="preserve"> en mars 1773. La rumeur enfle d’autant plus qu’elle ne peut être disqualifiée comme populaire, elle est souvent relayée par des notables voire les autorités elles-mêmes. […]</w:t>
      </w:r>
      <w:r w:rsidR="00767046" w:rsidRPr="00767046">
        <w:rPr>
          <w:rFonts w:cs="Times New Roman"/>
        </w:rPr>
        <w:t xml:space="preserve"> La question des grains demeure d’une actualité brûlante. </w:t>
      </w:r>
    </w:p>
    <w:p w14:paraId="62D7D8BF" w14:textId="77777777" w:rsidR="002B6079" w:rsidRPr="00301510" w:rsidRDefault="002B6079" w:rsidP="009A2A76">
      <w:pPr>
        <w:spacing w:before="240"/>
        <w:ind w:firstLine="0"/>
        <w:jc w:val="right"/>
        <w:rPr>
          <w:sz w:val="20"/>
        </w:rPr>
      </w:pPr>
      <w:r w:rsidRPr="00301510">
        <w:rPr>
          <w:sz w:val="20"/>
        </w:rPr>
        <w:t xml:space="preserve">Pierre-Yves </w:t>
      </w:r>
      <w:r w:rsidRPr="00301510">
        <w:rPr>
          <w:smallCaps/>
          <w:sz w:val="20"/>
        </w:rPr>
        <w:t>Beaurepaire</w:t>
      </w:r>
      <w:r w:rsidRPr="00301510">
        <w:rPr>
          <w:sz w:val="20"/>
        </w:rPr>
        <w:t xml:space="preserve">, </w:t>
      </w:r>
      <w:r w:rsidRPr="00301510">
        <w:rPr>
          <w:i/>
          <w:sz w:val="20"/>
        </w:rPr>
        <w:t>La France des Lumières</w:t>
      </w:r>
      <w:r w:rsidRPr="00301510">
        <w:rPr>
          <w:sz w:val="20"/>
        </w:rPr>
        <w:t>, Paris, Belin, 2011, p. 636-</w:t>
      </w:r>
      <w:r w:rsidR="008623FD">
        <w:rPr>
          <w:sz w:val="20"/>
        </w:rPr>
        <w:t>643</w:t>
      </w:r>
      <w:r w:rsidRPr="00301510">
        <w:rPr>
          <w:sz w:val="20"/>
        </w:rPr>
        <w:t>.</w:t>
      </w:r>
    </w:p>
    <w:p w14:paraId="0DA2FCC5" w14:textId="77777777" w:rsidR="007F0821" w:rsidRDefault="00DD2719" w:rsidP="009A2A76">
      <w:pPr>
        <w:pStyle w:val="Sansinterligne"/>
        <w:spacing w:before="120"/>
      </w:pPr>
      <w:r>
        <w:t xml:space="preserve">2. </w:t>
      </w:r>
      <w:r w:rsidR="009A2A76">
        <w:t>Le récit de la guerre des farines</w:t>
      </w:r>
    </w:p>
    <w:p w14:paraId="40C7BBD4" w14:textId="77777777" w:rsidR="00EE41D8" w:rsidRPr="00D149F5" w:rsidRDefault="00EE41D8" w:rsidP="00EE41D8">
      <w:r w:rsidRPr="00D149F5">
        <w:t>« Troubles provoqués en 1775 par l'édit de Turgot libérant le commerce des grains à l'intérieur du royaume. La crainte de la disette avait conduit à la tradition d</w:t>
      </w:r>
      <w:proofErr w:type="gramStart"/>
      <w:r w:rsidRPr="00D149F5">
        <w:t>'«</w:t>
      </w:r>
      <w:proofErr w:type="gramEnd"/>
      <w:r w:rsidRPr="00D149F5">
        <w:t> emprisonner les blés » par une réglementation étroite du marché. Des droits de douane empêchaient la circulation des grains ; de ce fait, le blé pourrissait dans les provinces où la récolte avait été abondante, alors qu'on mourait de faim dans les provinces voisines. La production n'était pas stimulée.</w:t>
      </w:r>
    </w:p>
    <w:p w14:paraId="497D7893" w14:textId="77777777" w:rsidR="002247EA" w:rsidRPr="00D149F5" w:rsidRDefault="00EE41D8" w:rsidP="002247EA">
      <w:pPr>
        <w:rPr>
          <w:rFonts w:cs="Times New Roman"/>
        </w:rPr>
      </w:pPr>
      <w:r w:rsidRPr="00D149F5">
        <w:t>Disciple de Quesnay et de Gournay, auteur des </w:t>
      </w:r>
      <w:r w:rsidRPr="00D149F5">
        <w:rPr>
          <w:i/>
          <w:iCs/>
        </w:rPr>
        <w:t>Lettres sur la liberté du commerce des grains</w:t>
      </w:r>
      <w:r w:rsidRPr="00D149F5">
        <w:t xml:space="preserve"> (1770), Turgot, devenu ministre, abolit toute réglementation. </w:t>
      </w:r>
      <w:r w:rsidRPr="00D149F5">
        <w:rPr>
          <w:rFonts w:cs="Times New Roman"/>
        </w:rPr>
        <w:t xml:space="preserve">[…] </w:t>
      </w:r>
      <w:r w:rsidR="002247EA" w:rsidRPr="00D149F5">
        <w:rPr>
          <w:rFonts w:cs="Times New Roman"/>
        </w:rPr>
        <w:t xml:space="preserve">La guerre des farines, au sens strict, se déclenche en avril 1775. Les prix montent, on parle de manœuvres d'accaparement, de complot. La région parisienne connaît une série d'incidents en chaîne (27 avr.-10 mai) culminant à Versailles et à Paris. Partout, la même revendication : du pain à prix abordable. Des violences se produisent à Beaumont-sur-Oise, </w:t>
      </w:r>
      <w:r w:rsidR="00DD345C" w:rsidRPr="00D149F5">
        <w:rPr>
          <w:rFonts w:cs="Times New Roman"/>
        </w:rPr>
        <w:t>[…]</w:t>
      </w:r>
      <w:r w:rsidR="002247EA" w:rsidRPr="00D149F5">
        <w:rPr>
          <w:rFonts w:cs="Times New Roman"/>
        </w:rPr>
        <w:t xml:space="preserve"> ; des pillages ont lieu </w:t>
      </w:r>
      <w:r w:rsidR="00DD345C" w:rsidRPr="00D149F5">
        <w:rPr>
          <w:rFonts w:cs="Times New Roman"/>
        </w:rPr>
        <w:t>[…]</w:t>
      </w:r>
      <w:r w:rsidR="002247EA" w:rsidRPr="00D149F5">
        <w:rPr>
          <w:rFonts w:cs="Times New Roman"/>
        </w:rPr>
        <w:t xml:space="preserve">. La foule demande la taxation. </w:t>
      </w:r>
      <w:r w:rsidR="00DD345C" w:rsidRPr="00D149F5">
        <w:rPr>
          <w:rFonts w:cs="Times New Roman"/>
        </w:rPr>
        <w:t>[…]</w:t>
      </w:r>
      <w:r w:rsidR="002247EA" w:rsidRPr="00D149F5">
        <w:rPr>
          <w:rFonts w:cs="Times New Roman"/>
        </w:rPr>
        <w:t xml:space="preserve">. Des incidents de taxation forcée se produisent à Nanterre, à Gonesse, à Saint-Denis et à Meaux. L'émeute gagne Versailles le 2 mai ; </w:t>
      </w:r>
      <w:r w:rsidR="00DD345C" w:rsidRPr="00D149F5">
        <w:rPr>
          <w:rFonts w:cs="Times New Roman"/>
        </w:rPr>
        <w:t>[…]</w:t>
      </w:r>
      <w:r w:rsidR="002247EA" w:rsidRPr="00D149F5">
        <w:rPr>
          <w:rFonts w:cs="Times New Roman"/>
        </w:rPr>
        <w:t>. Des troubles éclatent à Poissy, à Romorantin, à Boulogne, à Épinay ; on exige le pain à deux sols la livre. À Argenteuil, les autorités négocient avec le peuple une taxation accompagnée d'un rationnement. Le 3 mai, l'émeute atteint Paris, la « populace » afflue de la banlieue ; on pille plus qu'on ne taxe.</w:t>
      </w:r>
    </w:p>
    <w:p w14:paraId="6D8780F5" w14:textId="77777777" w:rsidR="00EE41D8" w:rsidRPr="00D149F5" w:rsidRDefault="002247EA" w:rsidP="002247EA">
      <w:pPr>
        <w:rPr>
          <w:rFonts w:cs="Times New Roman"/>
        </w:rPr>
      </w:pPr>
      <w:r w:rsidRPr="00D149F5">
        <w:rPr>
          <w:rFonts w:cs="Times New Roman"/>
        </w:rPr>
        <w:t xml:space="preserve">On a prétendu que des « brigands armés » se transportaient d'un point à un autre pour entraîner la foule ; l'existence et le plan de ces « meneurs » restent à prouver. Les forces de l'ordre furent en général bienveillantes. D'aucuns ont affirmé que le guet aidait parfois les émeutiers. Tandis que le ministre Maurepas était perplexe devant ces événements, Turgot réagit avec vigueur. Il fit révoquer les responsables, occuper les routes et les postes de Paris par 25 000 hommes, arrêter les agitateurs. L'émeute parisienne fut contenue. La répression se limita à 260 arrestations </w:t>
      </w:r>
      <w:r w:rsidR="00D149F5" w:rsidRPr="00D149F5">
        <w:rPr>
          <w:rFonts w:cs="Times New Roman"/>
        </w:rPr>
        <w:t>[…]</w:t>
      </w:r>
      <w:r w:rsidRPr="00D149F5">
        <w:rPr>
          <w:rFonts w:cs="Times New Roman"/>
        </w:rPr>
        <w:t>. »</w:t>
      </w:r>
    </w:p>
    <w:p w14:paraId="026B23E1" w14:textId="77777777" w:rsidR="002247EA" w:rsidRPr="002247EA" w:rsidRDefault="002247EA" w:rsidP="002247EA">
      <w:pPr>
        <w:jc w:val="right"/>
        <w:rPr>
          <w:rFonts w:cs="Times New Roman"/>
          <w:sz w:val="20"/>
        </w:rPr>
      </w:pPr>
      <w:r w:rsidRPr="002247EA">
        <w:rPr>
          <w:rFonts w:cs="Times New Roman"/>
          <w:sz w:val="20"/>
        </w:rPr>
        <w:t xml:space="preserve">Louis </w:t>
      </w:r>
      <w:proofErr w:type="spellStart"/>
      <w:r w:rsidRPr="002247EA">
        <w:rPr>
          <w:rFonts w:cs="Times New Roman"/>
          <w:smallCaps/>
          <w:sz w:val="20"/>
        </w:rPr>
        <w:t>Trenard</w:t>
      </w:r>
      <w:proofErr w:type="spellEnd"/>
      <w:r w:rsidRPr="002247EA">
        <w:rPr>
          <w:rFonts w:cs="Times New Roman"/>
          <w:sz w:val="20"/>
        </w:rPr>
        <w:t xml:space="preserve">, « Farines, guerre des », dans </w:t>
      </w:r>
      <w:proofErr w:type="spellStart"/>
      <w:r w:rsidRPr="002247EA">
        <w:rPr>
          <w:rFonts w:cs="Times New Roman"/>
          <w:i/>
          <w:sz w:val="20"/>
        </w:rPr>
        <w:t>Encyclopedia</w:t>
      </w:r>
      <w:proofErr w:type="spellEnd"/>
      <w:r w:rsidRPr="002247EA">
        <w:rPr>
          <w:rFonts w:cs="Times New Roman"/>
          <w:i/>
          <w:sz w:val="20"/>
        </w:rPr>
        <w:t xml:space="preserve"> </w:t>
      </w:r>
      <w:proofErr w:type="spellStart"/>
      <w:r w:rsidRPr="002247EA">
        <w:rPr>
          <w:rFonts w:cs="Times New Roman"/>
          <w:i/>
          <w:sz w:val="20"/>
        </w:rPr>
        <w:t>Universalis</w:t>
      </w:r>
      <w:proofErr w:type="spellEnd"/>
      <w:r w:rsidRPr="002247EA">
        <w:rPr>
          <w:rFonts w:cs="Times New Roman"/>
          <w:sz w:val="20"/>
        </w:rPr>
        <w:t xml:space="preserve">. </w:t>
      </w:r>
    </w:p>
    <w:p w14:paraId="634C1F5D" w14:textId="77777777" w:rsidR="00753EBC" w:rsidRPr="00607133" w:rsidRDefault="00753EBC" w:rsidP="00753EBC">
      <w:pPr>
        <w:ind w:firstLine="0"/>
        <w:rPr>
          <w:rFonts w:cs="Times New Roman"/>
        </w:rPr>
        <w:sectPr w:rsidR="00753EBC" w:rsidRPr="00607133" w:rsidSect="00331953">
          <w:pgSz w:w="11905" w:h="16837"/>
          <w:pgMar w:top="885" w:right="1417" w:bottom="1417" w:left="1417" w:header="708" w:footer="708" w:gutter="0"/>
          <w:cols w:space="708"/>
          <w:docGrid w:linePitch="360"/>
          <w15:footnoteColumns w:val="2"/>
        </w:sectPr>
      </w:pPr>
    </w:p>
    <w:p w14:paraId="7A5C2E91" w14:textId="77777777" w:rsidR="000122F3" w:rsidRPr="00607133" w:rsidRDefault="003A1412" w:rsidP="000D6355">
      <w:pPr>
        <w:pStyle w:val="Titre"/>
        <w:rPr>
          <w:rFonts w:cs="Times New Roman"/>
        </w:rPr>
      </w:pPr>
      <w:r w:rsidRPr="00607133">
        <w:rPr>
          <w:rFonts w:cs="Times New Roman"/>
        </w:rPr>
        <w:lastRenderedPageBreak/>
        <w:t>Séance</w:t>
      </w:r>
      <w:r w:rsidR="000D6355" w:rsidRPr="00607133">
        <w:rPr>
          <w:rFonts w:cs="Times New Roman"/>
        </w:rPr>
        <w:t>s</w:t>
      </w:r>
      <w:r w:rsidRPr="00607133">
        <w:rPr>
          <w:rFonts w:cs="Times New Roman"/>
        </w:rPr>
        <w:t xml:space="preserve"> </w:t>
      </w:r>
      <w:r w:rsidR="00753EBC">
        <w:rPr>
          <w:rFonts w:cs="Times New Roman"/>
        </w:rPr>
        <w:t>7</w:t>
      </w:r>
      <w:r w:rsidR="000D6355" w:rsidRPr="00607133">
        <w:rPr>
          <w:rFonts w:cs="Times New Roman"/>
        </w:rPr>
        <w:t xml:space="preserve"> et</w:t>
      </w:r>
      <w:r w:rsidR="00757C96" w:rsidRPr="00607133">
        <w:rPr>
          <w:rFonts w:cs="Times New Roman"/>
        </w:rPr>
        <w:t xml:space="preserve"> </w:t>
      </w:r>
      <w:r w:rsidR="00753EBC">
        <w:rPr>
          <w:rFonts w:cs="Times New Roman"/>
        </w:rPr>
        <w:t>8</w:t>
      </w:r>
      <w:r w:rsidR="00462C27" w:rsidRPr="00607133">
        <w:rPr>
          <w:rFonts w:cs="Times New Roman"/>
        </w:rPr>
        <w:t xml:space="preserve">. </w:t>
      </w:r>
      <w:r w:rsidR="000D6355" w:rsidRPr="00607133">
        <w:rPr>
          <w:rFonts w:cs="Times New Roman"/>
        </w:rPr>
        <w:t>Le procès Fouquet (1664)</w:t>
      </w:r>
    </w:p>
    <w:p w14:paraId="3D736437"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61. 20 novembre</w:t>
      </w:r>
      <w:r w:rsidRPr="00607133">
        <w:rPr>
          <w:rFonts w:cs="Times New Roman"/>
          <w:szCs w:val="22"/>
        </w:rPr>
        <w:sym w:font="Symbol" w:char="F05D"/>
      </w:r>
      <w:r w:rsidRPr="00607133">
        <w:rPr>
          <w:rFonts w:cs="Times New Roman"/>
          <w:szCs w:val="22"/>
        </w:rPr>
        <w:t>. M. Foucquet a été interrogé ce matin sur le marc d’or ; (…). Plusieurs juges l’ont salué. Monsieur le Chancelier</w:t>
      </w:r>
      <w:r w:rsidRPr="00607133">
        <w:rPr>
          <w:rStyle w:val="Appelnotedebasdep"/>
          <w:rFonts w:cs="Times New Roman"/>
          <w:szCs w:val="22"/>
        </w:rPr>
        <w:footnoteReference w:id="6"/>
      </w:r>
      <w:r w:rsidRPr="00607133">
        <w:rPr>
          <w:rFonts w:cs="Times New Roman"/>
          <w:szCs w:val="22"/>
        </w:rPr>
        <w:t xml:space="preserve"> en a fait reproche, et dit que ce n’était point la coutume, et au conseiller breton : « C’est à cause que vous êtes de Bretagne que vous saluez si bas M. Foucquet ». </w:t>
      </w:r>
    </w:p>
    <w:p w14:paraId="0ED86F6B"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61</w:t>
      </w:r>
      <w:r w:rsidRPr="00607133">
        <w:rPr>
          <w:rFonts w:cs="Times New Roman"/>
          <w:szCs w:val="22"/>
        </w:rPr>
        <w:t xml:space="preserve">. </w:t>
      </w:r>
      <w:r w:rsidRPr="00607133">
        <w:rPr>
          <w:rFonts w:cs="Times New Roman"/>
          <w:i/>
          <w:szCs w:val="22"/>
        </w:rPr>
        <w:t>22 novembre</w:t>
      </w:r>
      <w:r w:rsidRPr="00607133">
        <w:rPr>
          <w:rFonts w:cs="Times New Roman"/>
          <w:szCs w:val="22"/>
        </w:rPr>
        <w:sym w:font="Symbol" w:char="F05D"/>
      </w:r>
      <w:r w:rsidRPr="00607133">
        <w:rPr>
          <w:rFonts w:cs="Times New Roman"/>
          <w:szCs w:val="22"/>
        </w:rPr>
        <w:t xml:space="preserve"> M. Foucquet a entré ce matin à la chambre. On l’a interrogé sur les octrois ; il a été très mal attaqué, et il s’est très bien défendu. Ce n’est pas, entre nous, que ce ne soit un des endroits de son affaire le plus glissant. Je ne sais quel bon ange l’a averti qu’il avait été trop fier, mais il s’en est corrigé aujourd’hui, comme on s’est corrigé aussi de le saluer. On ne rentrera que mercredi à la chambre ; je ne vous écrirai aussi que ce jour-là. </w:t>
      </w:r>
    </w:p>
    <w:p w14:paraId="203722C1"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62. 26 novembre</w:t>
      </w:r>
      <w:r w:rsidRPr="00607133">
        <w:rPr>
          <w:rFonts w:cs="Times New Roman"/>
          <w:szCs w:val="22"/>
        </w:rPr>
        <w:sym w:font="Symbol" w:char="F05D"/>
      </w:r>
      <w:r w:rsidRPr="00607133">
        <w:rPr>
          <w:rFonts w:cs="Times New Roman"/>
          <w:szCs w:val="22"/>
        </w:rPr>
        <w:t xml:space="preserve">. Ce matin Monsieur le Chancelier a interrogé M. Foucquet, mais la manière a été différente. Il semble qu’il soit honteux de recevoir tous les jours sa leçon par </w:t>
      </w:r>
      <w:proofErr w:type="spellStart"/>
      <w:r w:rsidRPr="00607133">
        <w:rPr>
          <w:rFonts w:cs="Times New Roman"/>
          <w:szCs w:val="22"/>
        </w:rPr>
        <w:t>Berrier</w:t>
      </w:r>
      <w:proofErr w:type="spellEnd"/>
      <w:r w:rsidRPr="00607133">
        <w:rPr>
          <w:rFonts w:cs="Times New Roman"/>
          <w:szCs w:val="22"/>
        </w:rPr>
        <w:t xml:space="preserve">. Il a dit au rapporteur de lire l’article sur quoi on voulait interroger l’accusé. Le rapporteur a lu, et cette lecture a duré si longtemps qu’il était dix heures et demie quand on a fini. Il a dit « Qu’on fasse entrer Foucquet », et puis il s’est repris : « M. Foucquet ». (…) On l’a interrogé sur les octrois ; il a fort bien répondu. (…) Si l’on travaille tous les jours aussi doucement qu’aujourd’hui, le procès durera encore un temps infini. </w:t>
      </w:r>
    </w:p>
    <w:p w14:paraId="7E3D1981" w14:textId="77777777" w:rsidR="000D6355" w:rsidRPr="00607133" w:rsidRDefault="000D6355" w:rsidP="000D6355">
      <w:pPr>
        <w:rPr>
          <w:rFonts w:cs="Times New Roman"/>
          <w:szCs w:val="22"/>
        </w:rPr>
      </w:pPr>
      <w:r w:rsidRPr="00607133">
        <w:rPr>
          <w:rFonts w:cs="Times New Roman"/>
          <w:szCs w:val="22"/>
        </w:rPr>
        <w:sym w:font="Symbol" w:char="F05B"/>
      </w:r>
      <w:r w:rsidRPr="00607133">
        <w:rPr>
          <w:rFonts w:cs="Times New Roman"/>
          <w:i/>
          <w:szCs w:val="22"/>
        </w:rPr>
        <w:t>63. 27 novembre</w:t>
      </w:r>
      <w:r w:rsidRPr="00607133">
        <w:rPr>
          <w:rFonts w:cs="Times New Roman"/>
          <w:szCs w:val="22"/>
        </w:rPr>
        <w:sym w:font="Symbol" w:char="F05D"/>
      </w:r>
      <w:r w:rsidRPr="00607133">
        <w:rPr>
          <w:rFonts w:cs="Times New Roman"/>
          <w:szCs w:val="22"/>
        </w:rPr>
        <w:t xml:space="preserve">. Il faut que </w:t>
      </w:r>
      <w:r w:rsidRPr="001F390E">
        <w:rPr>
          <w:rFonts w:cs="Times New Roman"/>
          <w:color w:val="000000" w:themeColor="text1"/>
          <w:szCs w:val="22"/>
        </w:rPr>
        <w:t>je vous conte ce que j’ai fait. Imaginez-vous que des dames m’ont proposé d’aller dans une maison qui regarde droit dans l’Arsenal</w:t>
      </w:r>
      <w:r w:rsidRPr="001F390E">
        <w:rPr>
          <w:rStyle w:val="Appelnotedebasdep"/>
          <w:rFonts w:cs="Times New Roman"/>
          <w:color w:val="000000" w:themeColor="text1"/>
          <w:szCs w:val="22"/>
        </w:rPr>
        <w:footnoteReference w:id="7"/>
      </w:r>
      <w:r w:rsidRPr="001F390E">
        <w:rPr>
          <w:rFonts w:cs="Times New Roman"/>
          <w:color w:val="000000" w:themeColor="text1"/>
          <w:szCs w:val="22"/>
        </w:rPr>
        <w:t xml:space="preserve"> pour voir revenir notre pauvre ami ; j’étais masquée. Je l’ai vu venir d’assez loin. M. d’Artagnan</w:t>
      </w:r>
      <w:r w:rsidRPr="001F390E">
        <w:rPr>
          <w:rStyle w:val="Appelnotedebasdep"/>
          <w:rFonts w:cs="Times New Roman"/>
          <w:color w:val="000000" w:themeColor="text1"/>
          <w:szCs w:val="22"/>
        </w:rPr>
        <w:footnoteReference w:id="8"/>
      </w:r>
      <w:r w:rsidRPr="001F390E">
        <w:rPr>
          <w:rFonts w:cs="Times New Roman"/>
          <w:color w:val="000000" w:themeColor="text1"/>
          <w:szCs w:val="22"/>
        </w:rPr>
        <w:t xml:space="preserve"> était auprès de lui ; cinquante mousquetaires derrières, à trente ou quarante pas. Il paraissait assez rêveur. Pour moi, quand je l’ai aperçu, les jambes m’ont tremblé, et le cœur m’a battu si fort que je n’en pouvais plus. En s’approchant de nous pour rentrer dans son trou, M. d’Artagnan l’a poussé, et lui a fait remarquer que nous </w:t>
      </w:r>
      <w:r w:rsidRPr="00607133">
        <w:rPr>
          <w:rFonts w:cs="Times New Roman"/>
          <w:szCs w:val="22"/>
        </w:rPr>
        <w:t xml:space="preserve">étions là. Il nous a donc salué, et a pris cette mine riante que vous connaissez. </w:t>
      </w:r>
    </w:p>
    <w:p w14:paraId="09087070" w14:textId="77777777" w:rsidR="000D6355" w:rsidRPr="00607133" w:rsidRDefault="000D6355" w:rsidP="000D6355">
      <w:pPr>
        <w:rPr>
          <w:rFonts w:cs="Times New Roman"/>
          <w:szCs w:val="22"/>
        </w:rPr>
      </w:pPr>
      <w:r w:rsidRPr="00607133">
        <w:rPr>
          <w:rFonts w:cs="Times New Roman"/>
          <w:szCs w:val="22"/>
        </w:rPr>
        <w:sym w:font="Symbol" w:char="F05B"/>
      </w:r>
      <w:r w:rsidRPr="00607133">
        <w:rPr>
          <w:rFonts w:cs="Times New Roman"/>
          <w:i/>
          <w:szCs w:val="22"/>
        </w:rPr>
        <w:t>63. 28 novembre</w:t>
      </w:r>
      <w:r w:rsidRPr="00607133">
        <w:rPr>
          <w:rFonts w:cs="Times New Roman"/>
          <w:szCs w:val="22"/>
        </w:rPr>
        <w:sym w:font="Symbol" w:char="F05D"/>
      </w:r>
      <w:r w:rsidRPr="00607133">
        <w:rPr>
          <w:rFonts w:cs="Times New Roman"/>
          <w:szCs w:val="22"/>
        </w:rPr>
        <w:t xml:space="preserve">. Il est certain qu’il semble qu’on veuille tirer l’affaire en longueur. </w:t>
      </w:r>
      <w:r w:rsidRPr="00607133">
        <w:rPr>
          <w:rFonts w:cs="Times New Roman"/>
          <w:i/>
          <w:szCs w:val="22"/>
        </w:rPr>
        <w:t>Puis</w:t>
      </w:r>
      <w:r w:rsidRPr="00607133">
        <w:rPr>
          <w:rStyle w:val="Appelnotedebasdep"/>
          <w:rFonts w:cs="Times New Roman"/>
          <w:szCs w:val="22"/>
        </w:rPr>
        <w:footnoteReference w:id="9"/>
      </w:r>
      <w:r w:rsidRPr="00607133">
        <w:rPr>
          <w:rFonts w:cs="Times New Roman"/>
          <w:szCs w:val="22"/>
        </w:rPr>
        <w:t xml:space="preserve"> a promis de ne faire parler l’accusé que le moins qu’il pourrait. On trouve qu’il dit trop bien. On voudrait donc l’interroger légèrement, et ne pas aller sur tous les articles. (…) </w:t>
      </w:r>
      <w:r w:rsidRPr="00607133">
        <w:rPr>
          <w:rFonts w:cs="Times New Roman"/>
          <w:i/>
          <w:szCs w:val="22"/>
        </w:rPr>
        <w:t>Puis</w:t>
      </w:r>
      <w:r w:rsidRPr="00607133">
        <w:rPr>
          <w:rFonts w:cs="Times New Roman"/>
          <w:szCs w:val="22"/>
        </w:rPr>
        <w:t xml:space="preserve"> est toujours en crainte de déplaire à </w:t>
      </w:r>
      <w:r w:rsidRPr="00607133">
        <w:rPr>
          <w:rFonts w:cs="Times New Roman"/>
          <w:i/>
          <w:szCs w:val="22"/>
        </w:rPr>
        <w:t>Petit</w:t>
      </w:r>
      <w:r w:rsidRPr="00607133">
        <w:rPr>
          <w:rStyle w:val="Appelnotedebasdep"/>
          <w:rFonts w:cs="Times New Roman"/>
          <w:szCs w:val="22"/>
        </w:rPr>
        <w:footnoteReference w:id="10"/>
      </w:r>
      <w:r w:rsidRPr="00607133">
        <w:rPr>
          <w:rFonts w:cs="Times New Roman"/>
          <w:szCs w:val="22"/>
        </w:rPr>
        <w:t>. Il lui fit excuse l’autre jour de ce que M. Foucquet avait parlé trop longtemps, mais il n’avait pas pu l’interrompre. Chamillart est derrière le paravent quand on interroge ; il écoute ce que l’on dit, et offre d’aller chez les juges leur rendre compte des raisons qu’il a eues de faire ses conclusions si extrêmes. Tout ce procédé est contre l’ordre, et marque une grand</w:t>
      </w:r>
      <w:r w:rsidR="001F390E">
        <w:rPr>
          <w:rFonts w:cs="Times New Roman"/>
          <w:szCs w:val="22"/>
        </w:rPr>
        <w:t>e</w:t>
      </w:r>
      <w:r w:rsidRPr="00607133">
        <w:rPr>
          <w:rFonts w:cs="Times New Roman"/>
          <w:szCs w:val="22"/>
        </w:rPr>
        <w:t xml:space="preserve"> rage contre le pauvre malheureux. </w:t>
      </w:r>
    </w:p>
    <w:p w14:paraId="23CE34DB"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64. 1</w:t>
      </w:r>
      <w:r w:rsidRPr="00607133">
        <w:rPr>
          <w:rFonts w:cs="Times New Roman"/>
          <w:i/>
          <w:szCs w:val="22"/>
          <w:vertAlign w:val="superscript"/>
        </w:rPr>
        <w:t>er</w:t>
      </w:r>
      <w:r w:rsidRPr="00607133">
        <w:rPr>
          <w:rFonts w:cs="Times New Roman"/>
          <w:i/>
          <w:szCs w:val="22"/>
        </w:rPr>
        <w:t xml:space="preserve"> décembre</w:t>
      </w:r>
      <w:r w:rsidRPr="00607133">
        <w:rPr>
          <w:rFonts w:cs="Times New Roman"/>
          <w:szCs w:val="22"/>
        </w:rPr>
        <w:sym w:font="Symbol" w:char="F05D"/>
      </w:r>
      <w:r w:rsidRPr="00607133">
        <w:rPr>
          <w:rFonts w:cs="Times New Roman"/>
          <w:szCs w:val="22"/>
        </w:rPr>
        <w:t xml:space="preserve">. Il y a deux jours que tout le monde croyait que l’on voulait tirer l’affaire de M. Foucquet en longueur ; présentement, ce n’est plus la même chose. C’est tout le contraire : on presse extraordinairement les interrogations. (…) Il a fort bien répondu sur tous les chefs. On continuera de suite, et la chose ira si vite que je crois que les interrogations finiront cette semaine. </w:t>
      </w:r>
    </w:p>
    <w:p w14:paraId="38CE89EE" w14:textId="77777777" w:rsidR="000D6355" w:rsidRPr="00607133" w:rsidRDefault="000D6355" w:rsidP="000D6355">
      <w:pPr>
        <w:rPr>
          <w:rFonts w:cs="Times New Roman"/>
          <w:szCs w:val="22"/>
        </w:rPr>
      </w:pPr>
      <w:r w:rsidRPr="00607133">
        <w:rPr>
          <w:rFonts w:cs="Times New Roman"/>
          <w:szCs w:val="22"/>
        </w:rPr>
        <w:sym w:font="Symbol" w:char="F05B"/>
      </w:r>
      <w:r w:rsidRPr="00607133">
        <w:rPr>
          <w:rFonts w:cs="Times New Roman"/>
          <w:i/>
          <w:szCs w:val="22"/>
        </w:rPr>
        <w:t>65. 5 décembre</w:t>
      </w:r>
      <w:r w:rsidRPr="00607133">
        <w:rPr>
          <w:rFonts w:cs="Times New Roman"/>
          <w:szCs w:val="22"/>
        </w:rPr>
        <w:sym w:font="Symbol" w:char="F05D"/>
      </w:r>
      <w:r w:rsidRPr="00607133">
        <w:rPr>
          <w:rFonts w:cs="Times New Roman"/>
          <w:szCs w:val="22"/>
        </w:rPr>
        <w:t>. C’est mardi à M. d’Ormesson</w:t>
      </w:r>
      <w:r w:rsidRPr="00607133">
        <w:rPr>
          <w:rStyle w:val="Appelnotedebasdep"/>
          <w:rFonts w:cs="Times New Roman"/>
          <w:szCs w:val="22"/>
        </w:rPr>
        <w:footnoteReference w:id="11"/>
      </w:r>
      <w:r w:rsidRPr="00607133">
        <w:rPr>
          <w:rFonts w:cs="Times New Roman"/>
          <w:szCs w:val="22"/>
        </w:rPr>
        <w:t xml:space="preserve"> à parler ; il doit récapituler toute l’affaire. Cela durera encore toute la semaine qui vient (…). M. d’Ormesson m’a priée de ne le plus voir que l’affaire ne soit jugée. Il est dans le conclave, et ne veut plus avoir de commerce avec le monde. Il affecte une grande réserve ; il ne parle point, mais il écoute, et j’ai eu le plaisir, en lui disant adieu, de lui dire tout ce que je pense. (…) </w:t>
      </w:r>
    </w:p>
    <w:p w14:paraId="668E372A" w14:textId="77777777" w:rsidR="008623FD" w:rsidRDefault="008623FD" w:rsidP="000D6355">
      <w:pPr>
        <w:rPr>
          <w:rFonts w:cs="Times New Roman"/>
          <w:szCs w:val="22"/>
        </w:rPr>
      </w:pPr>
      <w:r>
        <w:rPr>
          <w:rFonts w:cs="Times New Roman"/>
          <w:szCs w:val="22"/>
        </w:rPr>
        <w:br w:type="page"/>
      </w:r>
    </w:p>
    <w:p w14:paraId="78E73FF0" w14:textId="77777777" w:rsidR="000D6355" w:rsidRPr="00607133" w:rsidRDefault="000D6355" w:rsidP="000D6355">
      <w:pPr>
        <w:rPr>
          <w:rFonts w:cs="Times New Roman"/>
          <w:szCs w:val="22"/>
        </w:rPr>
      </w:pPr>
      <w:r w:rsidRPr="00607133">
        <w:rPr>
          <w:rFonts w:cs="Times New Roman"/>
          <w:szCs w:val="22"/>
        </w:rPr>
        <w:lastRenderedPageBreak/>
        <w:sym w:font="Symbol" w:char="F05B"/>
      </w:r>
      <w:r w:rsidRPr="00607133">
        <w:rPr>
          <w:rFonts w:cs="Times New Roman"/>
          <w:i/>
          <w:szCs w:val="22"/>
        </w:rPr>
        <w:t>66. 9 décembre</w:t>
      </w:r>
      <w:r w:rsidRPr="00607133">
        <w:rPr>
          <w:rFonts w:cs="Times New Roman"/>
          <w:szCs w:val="22"/>
        </w:rPr>
        <w:sym w:font="Symbol" w:char="F05D"/>
      </w:r>
      <w:r w:rsidRPr="00607133">
        <w:rPr>
          <w:rFonts w:cs="Times New Roman"/>
          <w:szCs w:val="22"/>
        </w:rPr>
        <w:t xml:space="preserve">. (…) Je veux rajuster la dernière journée de l’interrogatoire sur le crime d’État. (…) Tout le monde en a été instruit par plusieurs juges. (…) Monsieur le Chancelier lui dit « Vous ne pouvez pas dire que ce ne soit là un crime d’État ». Il répondit : « Je confesse, monsieur, que c’est une folie et une extravagance, mais non pas un crime d’État. (…) Un crime d’État, c’est quand on est dans une charge principale, qu’on a le secret du prince, et que tout d’un coup on se met à la tête du conseil de ses ennemis, (…) qu’on fait ouvrir les portes des villes dont on est gouverneur à l’armée des ennemis, et qu’on les ferme à son véritable maître, (…) : voilà, messieurs, ce qui s’appelle un crime d’État ». Monsieur le Chancelier ne savait où se mettre, et tous les juges avaient </w:t>
      </w:r>
      <w:proofErr w:type="gramStart"/>
      <w:r w:rsidRPr="00607133">
        <w:rPr>
          <w:rFonts w:cs="Times New Roman"/>
          <w:szCs w:val="22"/>
        </w:rPr>
        <w:t>fort envie</w:t>
      </w:r>
      <w:proofErr w:type="gramEnd"/>
      <w:r w:rsidRPr="00607133">
        <w:rPr>
          <w:rFonts w:cs="Times New Roman"/>
          <w:szCs w:val="22"/>
        </w:rPr>
        <w:t xml:space="preserve"> de rire. (…) </w:t>
      </w:r>
    </w:p>
    <w:p w14:paraId="5A8CD9CA" w14:textId="77777777" w:rsidR="000D6355" w:rsidRPr="00607133" w:rsidRDefault="000D6355" w:rsidP="000D6355">
      <w:pPr>
        <w:rPr>
          <w:rFonts w:cs="Times New Roman"/>
          <w:szCs w:val="22"/>
        </w:rPr>
      </w:pPr>
      <w:r w:rsidRPr="00607133">
        <w:rPr>
          <w:rFonts w:cs="Times New Roman"/>
          <w:szCs w:val="22"/>
        </w:rPr>
        <w:sym w:font="Symbol" w:char="F05B"/>
      </w:r>
      <w:r w:rsidRPr="00607133">
        <w:rPr>
          <w:rFonts w:cs="Times New Roman"/>
          <w:i/>
          <w:szCs w:val="22"/>
        </w:rPr>
        <w:t>67</w:t>
      </w:r>
      <w:r w:rsidRPr="00607133">
        <w:rPr>
          <w:rFonts w:cs="Times New Roman"/>
          <w:szCs w:val="22"/>
        </w:rPr>
        <w:t xml:space="preserve">. </w:t>
      </w:r>
      <w:r w:rsidRPr="00607133">
        <w:rPr>
          <w:rFonts w:cs="Times New Roman"/>
          <w:i/>
          <w:szCs w:val="22"/>
        </w:rPr>
        <w:t>11 décembre</w:t>
      </w:r>
      <w:r w:rsidRPr="00607133">
        <w:rPr>
          <w:rFonts w:cs="Times New Roman"/>
          <w:szCs w:val="22"/>
        </w:rPr>
        <w:sym w:font="Symbol" w:char="F05D"/>
      </w:r>
      <w:r w:rsidRPr="00607133">
        <w:rPr>
          <w:rFonts w:cs="Times New Roman"/>
          <w:szCs w:val="22"/>
        </w:rPr>
        <w:t xml:space="preserve">. (…) Quand </w:t>
      </w:r>
      <w:r w:rsidRPr="00607133">
        <w:rPr>
          <w:rFonts w:cs="Times New Roman"/>
          <w:szCs w:val="22"/>
        </w:rPr>
        <w:sym w:font="Symbol" w:char="F05B"/>
      </w:r>
      <w:r w:rsidRPr="00607133">
        <w:rPr>
          <w:rFonts w:cs="Times New Roman"/>
          <w:szCs w:val="22"/>
        </w:rPr>
        <w:t>M. d’Ormesson</w:t>
      </w:r>
      <w:r w:rsidRPr="00607133">
        <w:rPr>
          <w:rFonts w:cs="Times New Roman"/>
          <w:szCs w:val="22"/>
        </w:rPr>
        <w:sym w:font="Symbol" w:char="F05D"/>
      </w:r>
      <w:r w:rsidRPr="00607133">
        <w:rPr>
          <w:rFonts w:cs="Times New Roman"/>
          <w:szCs w:val="22"/>
        </w:rPr>
        <w:t xml:space="preserve"> est venu sur un certain article du marc d’or, </w:t>
      </w:r>
      <w:proofErr w:type="spellStart"/>
      <w:r w:rsidRPr="00607133">
        <w:rPr>
          <w:rFonts w:cs="Times New Roman"/>
          <w:szCs w:val="22"/>
        </w:rPr>
        <w:t>Pussort</w:t>
      </w:r>
      <w:proofErr w:type="spellEnd"/>
      <w:r w:rsidRPr="00607133">
        <w:rPr>
          <w:rFonts w:cs="Times New Roman"/>
          <w:szCs w:val="22"/>
        </w:rPr>
        <w:t xml:space="preserve"> a dit : « Voilà qui est contre l’accusé. – Il est vrai, a dit M. d’Ormesson, mais il n’y a pas de preuve ». (…) Monsieur le Chancelier a interrompu plusieurs fois encore M. d’Ormesson. Il lui a dit qu’il ne fallait point parler du projet. (…) Mais M. d’Ormesson en parlera puisque c’est un des articles qui composent le procès. (…) Foucault va sollicitant partout, et fait voir un écrit du Roi, où on lui fait dire qu’il trouverait fort mauvais qu’il y eût des juges qui appuyassent leur avis sur la soustraction des papiers, que c’est lui qui les a fait prendre, qu’il n’y en a aucun qui serve à la défense de l’accusé, que ce sont des papiers qui touchent son État, et qu’il le déclare afin qu’on ne pense pas juger là-dessus. (…) </w:t>
      </w:r>
    </w:p>
    <w:p w14:paraId="688C011B"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67. 13 décembre</w:t>
      </w:r>
      <w:r w:rsidRPr="00607133">
        <w:rPr>
          <w:rFonts w:cs="Times New Roman"/>
          <w:szCs w:val="22"/>
        </w:rPr>
        <w:sym w:font="Symbol" w:char="F05D"/>
      </w:r>
      <w:r w:rsidRPr="00607133">
        <w:rPr>
          <w:rFonts w:cs="Times New Roman"/>
          <w:szCs w:val="22"/>
        </w:rPr>
        <w:t xml:space="preserve">. On a voulu, après avoir bien changé et rechangé, que M. d’Ormesson dît son avis aujourd’hui, afin que le dimanche passât par-dessus, et que Sainte-Hélène, recommençant lundi sur nouveaux frais, fît plus d’impression. M. d’Ormesson a donc opiné au bannissement perpétuel et à la confiscation des biens au Roi. (…) </w:t>
      </w:r>
    </w:p>
    <w:p w14:paraId="5E136A22" w14:textId="77777777" w:rsidR="000D6355" w:rsidRPr="00607133" w:rsidRDefault="000D6355" w:rsidP="000D6355">
      <w:pPr>
        <w:ind w:right="-73"/>
        <w:rPr>
          <w:rFonts w:cs="Times New Roman"/>
          <w:szCs w:val="22"/>
        </w:rPr>
      </w:pPr>
      <w:r w:rsidRPr="00607133">
        <w:rPr>
          <w:rFonts w:cs="Times New Roman"/>
          <w:szCs w:val="22"/>
        </w:rPr>
        <w:sym w:font="Symbol" w:char="F05B"/>
      </w:r>
      <w:r w:rsidRPr="00607133">
        <w:rPr>
          <w:rFonts w:cs="Times New Roman"/>
          <w:i/>
          <w:szCs w:val="22"/>
        </w:rPr>
        <w:t>69. 19 décembre</w:t>
      </w:r>
      <w:r w:rsidRPr="00607133">
        <w:rPr>
          <w:rFonts w:cs="Times New Roman"/>
          <w:szCs w:val="22"/>
        </w:rPr>
        <w:sym w:font="Symbol" w:char="F05D"/>
      </w:r>
      <w:r w:rsidRPr="00607133">
        <w:rPr>
          <w:rFonts w:cs="Times New Roman"/>
          <w:szCs w:val="22"/>
        </w:rPr>
        <w:t xml:space="preserve">. Voici un jour qui nous donne de grandes espérances ; mais il faut reprendre de plus loin. Je vous ai mandé comme M. </w:t>
      </w:r>
      <w:proofErr w:type="spellStart"/>
      <w:r w:rsidRPr="00607133">
        <w:rPr>
          <w:rFonts w:cs="Times New Roman"/>
          <w:szCs w:val="22"/>
        </w:rPr>
        <w:t>Pussort</w:t>
      </w:r>
      <w:proofErr w:type="spellEnd"/>
      <w:r w:rsidRPr="00607133">
        <w:rPr>
          <w:rFonts w:cs="Times New Roman"/>
          <w:szCs w:val="22"/>
        </w:rPr>
        <w:t xml:space="preserve"> opina mercredi à la mort. Jeudi, </w:t>
      </w:r>
      <w:proofErr w:type="spellStart"/>
      <w:r w:rsidRPr="00607133">
        <w:rPr>
          <w:rFonts w:cs="Times New Roman"/>
          <w:szCs w:val="22"/>
        </w:rPr>
        <w:t>Noguez</w:t>
      </w:r>
      <w:proofErr w:type="spellEnd"/>
      <w:r w:rsidRPr="00607133">
        <w:rPr>
          <w:rFonts w:cs="Times New Roman"/>
          <w:szCs w:val="22"/>
        </w:rPr>
        <w:t xml:space="preserve">, </w:t>
      </w:r>
      <w:proofErr w:type="spellStart"/>
      <w:r w:rsidRPr="00607133">
        <w:rPr>
          <w:rFonts w:cs="Times New Roman"/>
          <w:szCs w:val="22"/>
        </w:rPr>
        <w:t>Gisaucourt</w:t>
      </w:r>
      <w:proofErr w:type="spellEnd"/>
      <w:r w:rsidRPr="00607133">
        <w:rPr>
          <w:rFonts w:cs="Times New Roman"/>
          <w:szCs w:val="22"/>
        </w:rPr>
        <w:t xml:space="preserve">, </w:t>
      </w:r>
      <w:proofErr w:type="spellStart"/>
      <w:r w:rsidRPr="00607133">
        <w:rPr>
          <w:rFonts w:cs="Times New Roman"/>
          <w:szCs w:val="22"/>
        </w:rPr>
        <w:t>Ferriol</w:t>
      </w:r>
      <w:proofErr w:type="spellEnd"/>
      <w:r w:rsidRPr="00607133">
        <w:rPr>
          <w:rFonts w:cs="Times New Roman"/>
          <w:szCs w:val="22"/>
        </w:rPr>
        <w:t xml:space="preserve">, Hérault, à la mort encore. </w:t>
      </w:r>
      <w:proofErr w:type="spellStart"/>
      <w:r w:rsidRPr="00607133">
        <w:rPr>
          <w:rFonts w:cs="Times New Roman"/>
          <w:szCs w:val="22"/>
        </w:rPr>
        <w:t>Roquesante</w:t>
      </w:r>
      <w:proofErr w:type="spellEnd"/>
      <w:r w:rsidRPr="00607133">
        <w:rPr>
          <w:rFonts w:cs="Times New Roman"/>
          <w:szCs w:val="22"/>
        </w:rPr>
        <w:t xml:space="preserve"> finit la matinée, et après avoir parlé une heure admirablement bien, il reprit l’avis de M. d’Ormesson. Ce matin, nous avons été au-dessus du vent, car deux ou trois incertains ont été fixés, et tout d’un article nous avons eu La Toison, </w:t>
      </w:r>
      <w:proofErr w:type="spellStart"/>
      <w:r w:rsidRPr="00607133">
        <w:rPr>
          <w:rFonts w:cs="Times New Roman"/>
          <w:szCs w:val="22"/>
        </w:rPr>
        <w:t>Masnau</w:t>
      </w:r>
      <w:proofErr w:type="spellEnd"/>
      <w:r w:rsidRPr="00607133">
        <w:rPr>
          <w:rFonts w:cs="Times New Roman"/>
          <w:szCs w:val="22"/>
        </w:rPr>
        <w:t>, Verdier, La Baume et Catinat, de l’avis de M. d’Ormesson. (…) Voilà où nous en somme, qui est un état si avantageux que la joie n’en est point entière, car il faut que vous sachiez que M. Colbert est tellement enragé qu’on attend quelque chose d’atroce et d’injuste qui nous remettra au désespoir. (…) Nous verrons demain ce qui arrivera. Nous en avons sept ; ils en ont six. Voici ceux qui restent : Le Féron, Moussy, Brillac, Besnard, Renard, Voisin, Pontchartrain et le Chancelier. Il y en a plus qu’il ne nous en faut de bons à ce reste-là. (…)</w:t>
      </w:r>
    </w:p>
    <w:p w14:paraId="29DB87D3" w14:textId="77777777" w:rsidR="000D6355" w:rsidRPr="00607133" w:rsidRDefault="000D6355" w:rsidP="000D6355">
      <w:pPr>
        <w:pStyle w:val="Notes"/>
        <w:spacing w:before="240"/>
        <w:jc w:val="right"/>
        <w:rPr>
          <w:rFonts w:cs="Times New Roman"/>
        </w:rPr>
      </w:pPr>
      <w:r w:rsidRPr="00607133">
        <w:rPr>
          <w:rFonts w:cs="Times New Roman"/>
        </w:rPr>
        <w:t>Extraits de lettres de Madame de Sévigné à Pomponne</w:t>
      </w:r>
      <w:r w:rsidR="0073552E">
        <w:rPr>
          <w:rFonts w:cs="Times New Roman"/>
        </w:rPr>
        <w:t xml:space="preserve"> </w:t>
      </w:r>
      <w:r w:rsidR="0073552E">
        <w:rPr>
          <w:rFonts w:ascii="Times New Roman" w:hAnsi="Times New Roman" w:cs="Times New Roman"/>
        </w:rPr>
        <w:t>[1664]</w:t>
      </w:r>
      <w:r w:rsidRPr="00607133">
        <w:rPr>
          <w:rFonts w:cs="Times New Roman"/>
        </w:rPr>
        <w:t xml:space="preserve">, </w:t>
      </w:r>
      <w:r w:rsidRPr="00607133">
        <w:rPr>
          <w:rFonts w:cs="Times New Roman"/>
        </w:rPr>
        <w:br/>
        <w:t xml:space="preserve">dans Madame </w:t>
      </w:r>
      <w:r w:rsidRPr="00607133">
        <w:rPr>
          <w:rFonts w:cs="Times New Roman"/>
          <w:smallCaps/>
        </w:rPr>
        <w:t>de Sévigné</w:t>
      </w:r>
      <w:r w:rsidRPr="00607133">
        <w:rPr>
          <w:rFonts w:cs="Times New Roman"/>
        </w:rPr>
        <w:t xml:space="preserve">, </w:t>
      </w:r>
      <w:r w:rsidRPr="00607133">
        <w:rPr>
          <w:rFonts w:cs="Times New Roman"/>
          <w:i/>
        </w:rPr>
        <w:t>Correspondance</w:t>
      </w:r>
      <w:r w:rsidRPr="00607133">
        <w:rPr>
          <w:rFonts w:cs="Times New Roman"/>
        </w:rPr>
        <w:t>, Paris, Gallimard, 1972, vol. 1, p. 59-80.</w:t>
      </w:r>
    </w:p>
    <w:p w14:paraId="65F66B96" w14:textId="77777777" w:rsidR="000F00D1" w:rsidRPr="00607133" w:rsidRDefault="000F00D1">
      <w:pPr>
        <w:spacing w:before="0" w:after="0" w:line="240" w:lineRule="auto"/>
        <w:ind w:firstLine="0"/>
        <w:jc w:val="left"/>
        <w:rPr>
          <w:rFonts w:cs="Times New Roman"/>
          <w:b/>
        </w:rPr>
      </w:pPr>
    </w:p>
    <w:p w14:paraId="398A53B3" w14:textId="77777777" w:rsidR="000D6355" w:rsidRPr="00607133" w:rsidRDefault="000D6355" w:rsidP="008623FD">
      <w:pPr>
        <w:pStyle w:val="Sansinterligne"/>
        <w:spacing w:before="120"/>
        <w:rPr>
          <w:rFonts w:cs="Times New Roman"/>
        </w:rPr>
      </w:pPr>
      <w:r w:rsidRPr="00607133">
        <w:rPr>
          <w:rFonts w:cs="Times New Roman"/>
        </w:rPr>
        <w:t xml:space="preserve">Bibliographie indicative </w:t>
      </w:r>
    </w:p>
    <w:p w14:paraId="0AB9DDB0" w14:textId="77777777" w:rsidR="000D6355" w:rsidRPr="004540B5" w:rsidRDefault="000D6355" w:rsidP="000D6355">
      <w:pPr>
        <w:pStyle w:val="Biblio"/>
        <w:spacing w:before="60" w:after="60"/>
        <w:rPr>
          <w:rFonts w:cs="Times New Roman"/>
          <w:sz w:val="21"/>
          <w:szCs w:val="22"/>
        </w:rPr>
      </w:pPr>
      <w:proofErr w:type="spellStart"/>
      <w:r w:rsidRPr="004540B5">
        <w:rPr>
          <w:rFonts w:cs="Times New Roman"/>
          <w:smallCaps/>
          <w:sz w:val="21"/>
          <w:szCs w:val="22"/>
        </w:rPr>
        <w:t>Bély</w:t>
      </w:r>
      <w:proofErr w:type="spellEnd"/>
      <w:r w:rsidRPr="004540B5">
        <w:rPr>
          <w:rFonts w:cs="Times New Roman"/>
          <w:sz w:val="21"/>
          <w:szCs w:val="22"/>
        </w:rPr>
        <w:t>, Lucien</w:t>
      </w:r>
      <w:r w:rsidR="005B08D8" w:rsidRPr="004540B5">
        <w:rPr>
          <w:rFonts w:cs="Times New Roman"/>
          <w:sz w:val="21"/>
          <w:szCs w:val="22"/>
        </w:rPr>
        <w:t xml:space="preserve">, « Fouquet, Nicolas » et « Fouquet (procès de) », dans </w:t>
      </w:r>
      <w:r w:rsidR="005B08D8" w:rsidRPr="004540B5">
        <w:rPr>
          <w:rFonts w:cs="Times New Roman"/>
          <w:smallCaps/>
          <w:sz w:val="21"/>
          <w:szCs w:val="22"/>
        </w:rPr>
        <w:t>Id</w:t>
      </w:r>
      <w:r w:rsidR="005B08D8" w:rsidRPr="004540B5">
        <w:rPr>
          <w:rFonts w:cs="Times New Roman"/>
          <w:sz w:val="21"/>
          <w:szCs w:val="22"/>
        </w:rPr>
        <w:t xml:space="preserve">., </w:t>
      </w:r>
      <w:r w:rsidRPr="004540B5">
        <w:rPr>
          <w:rFonts w:cs="Times New Roman"/>
          <w:sz w:val="21"/>
          <w:szCs w:val="22"/>
        </w:rPr>
        <w:t xml:space="preserve">(dir.), </w:t>
      </w:r>
      <w:r w:rsidRPr="004540B5">
        <w:rPr>
          <w:rFonts w:cs="Times New Roman"/>
          <w:i/>
          <w:sz w:val="21"/>
          <w:szCs w:val="22"/>
        </w:rPr>
        <w:t>Dictionnaire Louis XIV</w:t>
      </w:r>
      <w:r w:rsidRPr="004540B5">
        <w:rPr>
          <w:rFonts w:cs="Times New Roman"/>
          <w:sz w:val="21"/>
          <w:szCs w:val="22"/>
        </w:rPr>
        <w:t>, Paris, Robert Laffont, 2015, pp. 516-523</w:t>
      </w:r>
      <w:r w:rsidR="005B08D8" w:rsidRPr="004540B5">
        <w:rPr>
          <w:rFonts w:cs="Times New Roman"/>
          <w:sz w:val="21"/>
          <w:szCs w:val="22"/>
        </w:rPr>
        <w:t xml:space="preserve"> (</w:t>
      </w:r>
      <w:r w:rsidR="0014143C">
        <w:rPr>
          <w:rFonts w:cs="Times New Roman"/>
          <w:sz w:val="21"/>
          <w:szCs w:val="22"/>
        </w:rPr>
        <w:t>PDF</w:t>
      </w:r>
      <w:r w:rsidR="005B08D8" w:rsidRPr="004540B5">
        <w:rPr>
          <w:rFonts w:cs="Times New Roman"/>
          <w:sz w:val="21"/>
          <w:szCs w:val="22"/>
        </w:rPr>
        <w:t xml:space="preserve"> sur Moodle).</w:t>
      </w:r>
    </w:p>
    <w:p w14:paraId="177A4C62" w14:textId="77777777" w:rsidR="000D6355" w:rsidRPr="004540B5" w:rsidRDefault="000D6355" w:rsidP="000D6355">
      <w:pPr>
        <w:pStyle w:val="Biblio"/>
        <w:spacing w:before="60" w:after="60"/>
        <w:rPr>
          <w:rFonts w:cs="Times New Roman"/>
          <w:sz w:val="21"/>
          <w:szCs w:val="22"/>
        </w:rPr>
      </w:pPr>
      <w:proofErr w:type="spellStart"/>
      <w:r w:rsidRPr="004540B5">
        <w:rPr>
          <w:rFonts w:cs="Times New Roman"/>
          <w:smallCaps/>
          <w:sz w:val="21"/>
          <w:szCs w:val="22"/>
        </w:rPr>
        <w:t>Bertière</w:t>
      </w:r>
      <w:proofErr w:type="spellEnd"/>
      <w:r w:rsidRPr="004540B5">
        <w:rPr>
          <w:rFonts w:cs="Times New Roman"/>
          <w:sz w:val="21"/>
          <w:szCs w:val="22"/>
        </w:rPr>
        <w:t xml:space="preserve">, Simone, </w:t>
      </w:r>
      <w:r w:rsidRPr="004540B5">
        <w:rPr>
          <w:rFonts w:cs="Times New Roman"/>
          <w:i/>
          <w:sz w:val="21"/>
          <w:szCs w:val="22"/>
        </w:rPr>
        <w:t>Le procès Fouquet</w:t>
      </w:r>
      <w:r w:rsidRPr="004540B5">
        <w:rPr>
          <w:rFonts w:cs="Times New Roman"/>
          <w:sz w:val="21"/>
          <w:szCs w:val="22"/>
        </w:rPr>
        <w:t>, Paris, De Fallois, 2013, pp. 253-297</w:t>
      </w:r>
      <w:r w:rsidR="005B08D8" w:rsidRPr="004540B5">
        <w:rPr>
          <w:rFonts w:cs="Times New Roman"/>
          <w:sz w:val="21"/>
          <w:szCs w:val="22"/>
        </w:rPr>
        <w:t xml:space="preserve"> (</w:t>
      </w:r>
      <w:r w:rsidR="0014143C">
        <w:rPr>
          <w:rFonts w:cs="Times New Roman"/>
          <w:sz w:val="21"/>
          <w:szCs w:val="22"/>
        </w:rPr>
        <w:t>PDF</w:t>
      </w:r>
      <w:r w:rsidR="005B08D8" w:rsidRPr="004540B5">
        <w:rPr>
          <w:rFonts w:cs="Times New Roman"/>
          <w:sz w:val="21"/>
          <w:szCs w:val="22"/>
        </w:rPr>
        <w:t xml:space="preserve"> sur Moodle)</w:t>
      </w:r>
      <w:r w:rsidRPr="004540B5">
        <w:rPr>
          <w:rFonts w:cs="Times New Roman"/>
          <w:sz w:val="21"/>
          <w:szCs w:val="22"/>
        </w:rPr>
        <w:t xml:space="preserve">. </w:t>
      </w:r>
    </w:p>
    <w:p w14:paraId="49D0FBDB" w14:textId="77777777" w:rsidR="000D6355" w:rsidRPr="004540B5" w:rsidRDefault="000D6355" w:rsidP="000D6355">
      <w:pPr>
        <w:pStyle w:val="Biblio"/>
        <w:spacing w:before="60" w:after="60"/>
        <w:rPr>
          <w:rFonts w:cs="Times New Roman"/>
          <w:sz w:val="21"/>
          <w:szCs w:val="22"/>
        </w:rPr>
      </w:pPr>
      <w:proofErr w:type="spellStart"/>
      <w:r w:rsidRPr="004540B5">
        <w:rPr>
          <w:rFonts w:cs="Times New Roman"/>
          <w:smallCaps/>
          <w:sz w:val="21"/>
          <w:szCs w:val="22"/>
        </w:rPr>
        <w:t>Mongredien</w:t>
      </w:r>
      <w:proofErr w:type="spellEnd"/>
      <w:r w:rsidRPr="004540B5">
        <w:rPr>
          <w:rFonts w:cs="Times New Roman"/>
          <w:sz w:val="21"/>
          <w:szCs w:val="22"/>
        </w:rPr>
        <w:t xml:space="preserve">, Georges, </w:t>
      </w:r>
      <w:r w:rsidRPr="004540B5">
        <w:rPr>
          <w:rFonts w:cs="Times New Roman"/>
          <w:i/>
          <w:sz w:val="21"/>
          <w:szCs w:val="22"/>
        </w:rPr>
        <w:t>L’affaire Fouquet</w:t>
      </w:r>
      <w:r w:rsidRPr="004540B5">
        <w:rPr>
          <w:rFonts w:cs="Times New Roman"/>
          <w:sz w:val="21"/>
          <w:szCs w:val="22"/>
        </w:rPr>
        <w:t>, Paris, Hachette, 1956, pp. 169-191</w:t>
      </w:r>
      <w:r w:rsidR="005B08D8" w:rsidRPr="004540B5">
        <w:rPr>
          <w:rFonts w:cs="Times New Roman"/>
          <w:sz w:val="21"/>
          <w:szCs w:val="22"/>
        </w:rPr>
        <w:t xml:space="preserve"> (</w:t>
      </w:r>
      <w:r w:rsidR="0014143C">
        <w:rPr>
          <w:rFonts w:cs="Times New Roman"/>
          <w:sz w:val="21"/>
          <w:szCs w:val="22"/>
        </w:rPr>
        <w:t>PDF</w:t>
      </w:r>
      <w:r w:rsidR="005B08D8" w:rsidRPr="004540B5">
        <w:rPr>
          <w:rFonts w:cs="Times New Roman"/>
          <w:sz w:val="21"/>
          <w:szCs w:val="22"/>
        </w:rPr>
        <w:t xml:space="preserve"> sur Moodle)</w:t>
      </w:r>
      <w:r w:rsidRPr="004540B5">
        <w:rPr>
          <w:rFonts w:cs="Times New Roman"/>
          <w:sz w:val="21"/>
          <w:szCs w:val="22"/>
        </w:rPr>
        <w:t xml:space="preserve">. </w:t>
      </w:r>
    </w:p>
    <w:p w14:paraId="715AD97F" w14:textId="77777777" w:rsidR="000D6355" w:rsidRPr="004540B5" w:rsidRDefault="000D6355" w:rsidP="000D6355">
      <w:pPr>
        <w:pStyle w:val="Titre1"/>
        <w:rPr>
          <w:rFonts w:cs="Times New Roman"/>
          <w:sz w:val="21"/>
          <w:szCs w:val="22"/>
        </w:rPr>
      </w:pPr>
      <w:r w:rsidRPr="004540B5">
        <w:rPr>
          <w:rFonts w:cs="Times New Roman"/>
          <w:sz w:val="21"/>
          <w:szCs w:val="22"/>
        </w:rPr>
        <w:t xml:space="preserve">Pour aller plus loin </w:t>
      </w:r>
    </w:p>
    <w:p w14:paraId="4556CE47" w14:textId="77777777" w:rsidR="000D6355" w:rsidRPr="004540B5" w:rsidRDefault="000D6355" w:rsidP="0053189D">
      <w:pPr>
        <w:pStyle w:val="Biblio"/>
        <w:spacing w:before="60" w:after="60"/>
        <w:rPr>
          <w:rFonts w:cs="Times New Roman"/>
          <w:sz w:val="21"/>
          <w:szCs w:val="22"/>
        </w:rPr>
      </w:pPr>
      <w:r w:rsidRPr="004540B5">
        <w:rPr>
          <w:rFonts w:cs="Times New Roman"/>
          <w:smallCaps/>
          <w:sz w:val="21"/>
          <w:szCs w:val="22"/>
        </w:rPr>
        <w:t>Bercé</w:t>
      </w:r>
      <w:r w:rsidRPr="004540B5">
        <w:rPr>
          <w:rFonts w:cs="Times New Roman"/>
          <w:sz w:val="21"/>
          <w:szCs w:val="22"/>
        </w:rPr>
        <w:t xml:space="preserve">, Yves-Marie, « Les coups de majesté des rois de France, 1588, 1617, 1661 », dans </w:t>
      </w:r>
      <w:r w:rsidR="009679DF" w:rsidRPr="004540B5">
        <w:rPr>
          <w:rFonts w:cs="Times New Roman"/>
          <w:sz w:val="21"/>
          <w:szCs w:val="22"/>
        </w:rPr>
        <w:t>Id.</w:t>
      </w:r>
      <w:r w:rsidRPr="004540B5">
        <w:rPr>
          <w:rFonts w:cs="Times New Roman"/>
          <w:sz w:val="21"/>
          <w:szCs w:val="22"/>
        </w:rPr>
        <w:t xml:space="preserve"> et </w:t>
      </w:r>
      <w:r w:rsidR="00307634" w:rsidRPr="004540B5">
        <w:rPr>
          <w:rFonts w:cs="Times New Roman"/>
          <w:sz w:val="21"/>
          <w:szCs w:val="22"/>
        </w:rPr>
        <w:t>E.</w:t>
      </w:r>
      <w:r w:rsidR="0053189D" w:rsidRPr="004540B5">
        <w:rPr>
          <w:rFonts w:cs="Times New Roman"/>
          <w:sz w:val="21"/>
          <w:szCs w:val="22"/>
        </w:rPr>
        <w:t xml:space="preserve"> </w:t>
      </w:r>
      <w:proofErr w:type="spellStart"/>
      <w:r w:rsidRPr="004540B5">
        <w:rPr>
          <w:rFonts w:cs="Times New Roman"/>
          <w:smallCaps/>
          <w:sz w:val="21"/>
          <w:szCs w:val="22"/>
        </w:rPr>
        <w:t>Fasano</w:t>
      </w:r>
      <w:proofErr w:type="spellEnd"/>
      <w:r w:rsidRPr="004540B5">
        <w:rPr>
          <w:rFonts w:cs="Times New Roman"/>
          <w:smallCaps/>
          <w:sz w:val="21"/>
          <w:szCs w:val="22"/>
        </w:rPr>
        <w:t xml:space="preserve"> Guarini </w:t>
      </w:r>
      <w:r w:rsidRPr="004540B5">
        <w:rPr>
          <w:rFonts w:cs="Times New Roman"/>
          <w:sz w:val="21"/>
          <w:szCs w:val="22"/>
        </w:rPr>
        <w:t xml:space="preserve">(dir.), </w:t>
      </w:r>
      <w:r w:rsidRPr="004540B5">
        <w:rPr>
          <w:rFonts w:cs="Times New Roman"/>
          <w:i/>
          <w:sz w:val="21"/>
          <w:szCs w:val="22"/>
        </w:rPr>
        <w:t>Complots et conjurations dans l’Europe moderne</w:t>
      </w:r>
      <w:r w:rsidRPr="004540B5">
        <w:rPr>
          <w:rFonts w:cs="Times New Roman"/>
          <w:sz w:val="21"/>
          <w:szCs w:val="22"/>
        </w:rPr>
        <w:t>, Rome, Publications de l’École française de Rome, 1996, pp. 491-505</w:t>
      </w:r>
      <w:r w:rsidR="005B08D8" w:rsidRPr="004540B5">
        <w:rPr>
          <w:rFonts w:cs="Times New Roman"/>
          <w:sz w:val="21"/>
          <w:szCs w:val="22"/>
        </w:rPr>
        <w:t xml:space="preserve"> (disponible sur Persée)</w:t>
      </w:r>
      <w:r w:rsidRPr="004540B5">
        <w:rPr>
          <w:rFonts w:cs="Times New Roman"/>
          <w:sz w:val="21"/>
          <w:szCs w:val="22"/>
        </w:rPr>
        <w:t xml:space="preserve">. </w:t>
      </w:r>
    </w:p>
    <w:p w14:paraId="2E345E6C" w14:textId="77777777" w:rsidR="000D6355" w:rsidRPr="004540B5" w:rsidRDefault="000D6355" w:rsidP="000D6355">
      <w:pPr>
        <w:pStyle w:val="Biblio"/>
        <w:spacing w:before="60" w:after="60"/>
        <w:rPr>
          <w:rFonts w:cs="Times New Roman"/>
          <w:sz w:val="21"/>
          <w:szCs w:val="22"/>
        </w:rPr>
      </w:pPr>
      <w:r w:rsidRPr="004540B5">
        <w:rPr>
          <w:rFonts w:cs="Times New Roman"/>
          <w:smallCaps/>
          <w:sz w:val="21"/>
          <w:szCs w:val="22"/>
        </w:rPr>
        <w:t>Dessert</w:t>
      </w:r>
      <w:r w:rsidRPr="004540B5">
        <w:rPr>
          <w:rFonts w:cs="Times New Roman"/>
          <w:sz w:val="21"/>
          <w:szCs w:val="22"/>
        </w:rPr>
        <w:t xml:space="preserve">, Daniel, </w:t>
      </w:r>
      <w:r w:rsidRPr="004540B5">
        <w:rPr>
          <w:rFonts w:cs="Times New Roman"/>
          <w:i/>
          <w:sz w:val="21"/>
          <w:szCs w:val="22"/>
        </w:rPr>
        <w:t>Fouquet</w:t>
      </w:r>
      <w:r w:rsidRPr="004540B5">
        <w:rPr>
          <w:rFonts w:cs="Times New Roman"/>
          <w:sz w:val="21"/>
          <w:szCs w:val="22"/>
        </w:rPr>
        <w:t>, Paris, Fayard, 1987, pp. 231-260</w:t>
      </w:r>
      <w:r w:rsidR="00620BBD" w:rsidRPr="004540B5">
        <w:rPr>
          <w:rFonts w:cs="Times New Roman"/>
          <w:sz w:val="21"/>
          <w:szCs w:val="22"/>
        </w:rPr>
        <w:t xml:space="preserve"> (</w:t>
      </w:r>
      <w:r w:rsidR="0014143C">
        <w:rPr>
          <w:rFonts w:cs="Times New Roman"/>
          <w:sz w:val="21"/>
          <w:szCs w:val="22"/>
        </w:rPr>
        <w:t>PDF</w:t>
      </w:r>
      <w:r w:rsidR="00620BBD" w:rsidRPr="004540B5">
        <w:rPr>
          <w:rFonts w:cs="Times New Roman"/>
          <w:sz w:val="21"/>
          <w:szCs w:val="22"/>
        </w:rPr>
        <w:t xml:space="preserve"> sur Moodle). </w:t>
      </w:r>
    </w:p>
    <w:p w14:paraId="2A172CE7" w14:textId="77777777" w:rsidR="000D6355" w:rsidRPr="004540B5" w:rsidRDefault="000D6355" w:rsidP="000D6355">
      <w:pPr>
        <w:pStyle w:val="Biblio"/>
        <w:spacing w:before="60" w:after="60"/>
        <w:rPr>
          <w:rFonts w:cs="Times New Roman"/>
          <w:sz w:val="21"/>
          <w:szCs w:val="22"/>
        </w:rPr>
      </w:pPr>
      <w:proofErr w:type="spellStart"/>
      <w:r w:rsidRPr="004540B5">
        <w:rPr>
          <w:rFonts w:cs="Times New Roman"/>
          <w:smallCaps/>
          <w:sz w:val="21"/>
          <w:szCs w:val="22"/>
        </w:rPr>
        <w:t>Petitfils</w:t>
      </w:r>
      <w:proofErr w:type="spellEnd"/>
      <w:r w:rsidRPr="004540B5">
        <w:rPr>
          <w:rFonts w:cs="Times New Roman"/>
          <w:sz w:val="21"/>
          <w:szCs w:val="22"/>
        </w:rPr>
        <w:t xml:space="preserve">, Jean-Christian, </w:t>
      </w:r>
      <w:r w:rsidRPr="004540B5">
        <w:rPr>
          <w:rFonts w:cs="Times New Roman"/>
          <w:i/>
          <w:sz w:val="21"/>
          <w:szCs w:val="22"/>
        </w:rPr>
        <w:t>Louis XIV</w:t>
      </w:r>
      <w:r w:rsidRPr="004540B5">
        <w:rPr>
          <w:rFonts w:cs="Times New Roman"/>
          <w:sz w:val="21"/>
          <w:szCs w:val="22"/>
        </w:rPr>
        <w:t>, Paris, Perrin, 200</w:t>
      </w:r>
      <w:r w:rsidR="00DB3B0F" w:rsidRPr="004540B5">
        <w:rPr>
          <w:rFonts w:cs="Times New Roman"/>
          <w:sz w:val="21"/>
          <w:szCs w:val="22"/>
        </w:rPr>
        <w:t>2</w:t>
      </w:r>
      <w:r w:rsidRPr="004540B5">
        <w:rPr>
          <w:rFonts w:cs="Times New Roman"/>
          <w:sz w:val="21"/>
          <w:szCs w:val="22"/>
        </w:rPr>
        <w:t>, pp. 195-216</w:t>
      </w:r>
      <w:r w:rsidR="00DB3B0F" w:rsidRPr="004540B5">
        <w:rPr>
          <w:rFonts w:cs="Times New Roman"/>
          <w:sz w:val="21"/>
          <w:szCs w:val="22"/>
        </w:rPr>
        <w:t xml:space="preserve"> (BU Gergovia, 944.02 PET)</w:t>
      </w:r>
      <w:r w:rsidRPr="004540B5">
        <w:rPr>
          <w:rFonts w:cs="Times New Roman"/>
          <w:sz w:val="21"/>
          <w:szCs w:val="22"/>
        </w:rPr>
        <w:t xml:space="preserve">. </w:t>
      </w:r>
    </w:p>
    <w:p w14:paraId="56226153" w14:textId="77777777" w:rsidR="00CC6684" w:rsidRPr="008623FD" w:rsidRDefault="000D6355" w:rsidP="008623FD">
      <w:pPr>
        <w:pStyle w:val="Biblio"/>
        <w:spacing w:before="60" w:after="60"/>
        <w:jc w:val="left"/>
        <w:rPr>
          <w:rFonts w:cs="Times New Roman"/>
          <w:sz w:val="21"/>
          <w:szCs w:val="22"/>
        </w:rPr>
      </w:pPr>
      <w:r w:rsidRPr="004540B5">
        <w:rPr>
          <w:rFonts w:cs="Times New Roman"/>
          <w:smallCaps/>
          <w:sz w:val="21"/>
          <w:szCs w:val="22"/>
        </w:rPr>
        <w:t>Vergé-Franceschi</w:t>
      </w:r>
      <w:r w:rsidRPr="004540B5">
        <w:rPr>
          <w:rFonts w:cs="Times New Roman"/>
          <w:sz w:val="21"/>
          <w:szCs w:val="22"/>
        </w:rPr>
        <w:t xml:space="preserve">, Michel, </w:t>
      </w:r>
      <w:r w:rsidRPr="004540B5">
        <w:rPr>
          <w:rFonts w:cs="Times New Roman"/>
          <w:i/>
          <w:sz w:val="21"/>
          <w:szCs w:val="22"/>
        </w:rPr>
        <w:t>Colbert. La politique du bon sens</w:t>
      </w:r>
      <w:r w:rsidRPr="004540B5">
        <w:rPr>
          <w:rFonts w:cs="Times New Roman"/>
          <w:sz w:val="21"/>
          <w:szCs w:val="22"/>
        </w:rPr>
        <w:t>, Paris, Payot, 2005, pp. 194-206</w:t>
      </w:r>
      <w:r w:rsidR="00DB3B0F" w:rsidRPr="004540B5">
        <w:rPr>
          <w:rFonts w:cs="Times New Roman"/>
          <w:sz w:val="21"/>
          <w:szCs w:val="22"/>
        </w:rPr>
        <w:t xml:space="preserve"> (</w:t>
      </w:r>
      <w:r w:rsidR="0014143C">
        <w:rPr>
          <w:rFonts w:cs="Times New Roman"/>
          <w:sz w:val="21"/>
          <w:szCs w:val="22"/>
        </w:rPr>
        <w:t xml:space="preserve">PDF </w:t>
      </w:r>
      <w:r w:rsidR="00DB3B0F" w:rsidRPr="004540B5">
        <w:rPr>
          <w:rFonts w:cs="Times New Roman"/>
          <w:sz w:val="21"/>
          <w:szCs w:val="22"/>
        </w:rPr>
        <w:t>sur Moodle)</w:t>
      </w:r>
      <w:r w:rsidRPr="004540B5">
        <w:rPr>
          <w:rFonts w:cs="Times New Roman"/>
          <w:sz w:val="21"/>
          <w:szCs w:val="22"/>
        </w:rPr>
        <w:t xml:space="preserve">. </w:t>
      </w:r>
    </w:p>
    <w:p w14:paraId="7FFC8AF6" w14:textId="77777777" w:rsidR="00776646" w:rsidRDefault="00503513" w:rsidP="00776646">
      <w:pPr>
        <w:pStyle w:val="Sansinterligne"/>
      </w:pPr>
      <w:r>
        <w:lastRenderedPageBreak/>
        <w:t>Documents a</w:t>
      </w:r>
      <w:r w:rsidR="00776646">
        <w:t>nnexes</w:t>
      </w:r>
    </w:p>
    <w:p w14:paraId="166BE918" w14:textId="77777777" w:rsidR="00174276" w:rsidRDefault="00174276" w:rsidP="00DF190E">
      <w:pPr>
        <w:ind w:firstLine="0"/>
      </w:pPr>
      <w:r>
        <w:t>Les étudiants disposent, pendant l</w:t>
      </w:r>
      <w:r w:rsidR="008320F0">
        <w:t>es</w:t>
      </w:r>
      <w:r>
        <w:t xml:space="preserve"> séance</w:t>
      </w:r>
      <w:r w:rsidR="008320F0">
        <w:t>s</w:t>
      </w:r>
      <w:r>
        <w:t xml:space="preserve"> et sur Moodle, des notes critiques de l’édition Gallimard de</w:t>
      </w:r>
      <w:r w:rsidR="00966E4C">
        <w:t xml:space="preserve"> la correspondance </w:t>
      </w:r>
      <w:r>
        <w:t xml:space="preserve">de la marquise de Sévigné. </w:t>
      </w:r>
    </w:p>
    <w:p w14:paraId="44D9FC95" w14:textId="77777777" w:rsidR="00503513" w:rsidRDefault="00503513" w:rsidP="008320F0">
      <w:pPr>
        <w:pStyle w:val="Sansinterligne"/>
      </w:pPr>
      <w:r>
        <w:t>1. Protocole de questionnement</w:t>
      </w:r>
    </w:p>
    <w:tbl>
      <w:tblPr>
        <w:tblStyle w:val="Grilledutableau"/>
        <w:tblW w:w="9498" w:type="dxa"/>
        <w:tblInd w:w="-147" w:type="dxa"/>
        <w:tblLook w:val="04A0" w:firstRow="1" w:lastRow="0" w:firstColumn="1" w:lastColumn="0" w:noHBand="0" w:noVBand="1"/>
      </w:tblPr>
      <w:tblGrid>
        <w:gridCol w:w="1134"/>
        <w:gridCol w:w="8364"/>
      </w:tblGrid>
      <w:tr w:rsidR="00503513" w:rsidRPr="003533D8" w14:paraId="0C63A07A" w14:textId="77777777" w:rsidTr="00503513">
        <w:tc>
          <w:tcPr>
            <w:tcW w:w="1134" w:type="dxa"/>
            <w:shd w:val="clear" w:color="auto" w:fill="E7E6E6" w:themeFill="background2"/>
            <w:vAlign w:val="center"/>
          </w:tcPr>
          <w:p w14:paraId="79BBC92D" w14:textId="77777777" w:rsidR="00503513" w:rsidRPr="003533D8" w:rsidRDefault="00503513" w:rsidP="002069AB">
            <w:pPr>
              <w:pStyle w:val="Notes"/>
              <w:spacing w:before="60" w:after="60"/>
              <w:jc w:val="center"/>
              <w:rPr>
                <w:i/>
                <w:iCs/>
                <w:szCs w:val="20"/>
              </w:rPr>
            </w:pPr>
            <w:r w:rsidRPr="003533D8">
              <w:rPr>
                <w:i/>
                <w:iCs/>
                <w:szCs w:val="20"/>
              </w:rPr>
              <w:t>Fouquet séducteur</w:t>
            </w:r>
          </w:p>
        </w:tc>
        <w:tc>
          <w:tcPr>
            <w:tcW w:w="8364" w:type="dxa"/>
            <w:vAlign w:val="center"/>
          </w:tcPr>
          <w:p w14:paraId="3421B683" w14:textId="77777777" w:rsidR="00503513" w:rsidRPr="008320F0" w:rsidRDefault="00503513" w:rsidP="002069AB">
            <w:pPr>
              <w:pStyle w:val="Notes"/>
              <w:spacing w:before="60" w:after="60"/>
              <w:jc w:val="left"/>
              <w:rPr>
                <w:sz w:val="21"/>
                <w:szCs w:val="21"/>
              </w:rPr>
            </w:pPr>
            <w:r w:rsidRPr="008320F0">
              <w:rPr>
                <w:sz w:val="21"/>
                <w:szCs w:val="21"/>
              </w:rPr>
              <w:t xml:space="preserve">Comment interprétez-vous l’extrait du 27 novembre ? Qui est d’Artagnan ? Qu’est-ce que cette scène révèle de l’atmosphère parisienne au cours du procès ? Comment l’attitude de Fouquet au cours des séances en chambre est-elle qualifiée ? Quel effet cela a-t-il sur ses juges ? </w:t>
            </w:r>
          </w:p>
        </w:tc>
      </w:tr>
      <w:tr w:rsidR="00503513" w:rsidRPr="003533D8" w14:paraId="37AC9DCF" w14:textId="77777777" w:rsidTr="00503513">
        <w:tc>
          <w:tcPr>
            <w:tcW w:w="1134" w:type="dxa"/>
            <w:shd w:val="clear" w:color="auto" w:fill="E7E6E6" w:themeFill="background2"/>
            <w:vAlign w:val="center"/>
          </w:tcPr>
          <w:p w14:paraId="65101679" w14:textId="77777777" w:rsidR="00503513" w:rsidRPr="003533D8" w:rsidRDefault="00503513" w:rsidP="002069AB">
            <w:pPr>
              <w:pStyle w:val="Notes"/>
              <w:spacing w:before="60" w:after="60"/>
              <w:jc w:val="center"/>
              <w:rPr>
                <w:i/>
                <w:iCs/>
                <w:szCs w:val="20"/>
              </w:rPr>
            </w:pPr>
            <w:r w:rsidRPr="003533D8">
              <w:rPr>
                <w:i/>
                <w:iCs/>
                <w:szCs w:val="20"/>
              </w:rPr>
              <w:t xml:space="preserve">Rythme(s) </w:t>
            </w:r>
            <w:r w:rsidRPr="003533D8">
              <w:rPr>
                <w:i/>
                <w:iCs/>
                <w:szCs w:val="20"/>
              </w:rPr>
              <w:br/>
              <w:t>et tension(s)</w:t>
            </w:r>
          </w:p>
        </w:tc>
        <w:tc>
          <w:tcPr>
            <w:tcW w:w="8364" w:type="dxa"/>
            <w:vAlign w:val="center"/>
          </w:tcPr>
          <w:p w14:paraId="353B1BF7" w14:textId="77777777" w:rsidR="00503513" w:rsidRPr="008320F0" w:rsidRDefault="00503513" w:rsidP="002069AB">
            <w:pPr>
              <w:pStyle w:val="Notes"/>
              <w:spacing w:before="60" w:after="60"/>
              <w:jc w:val="left"/>
              <w:rPr>
                <w:sz w:val="21"/>
                <w:szCs w:val="21"/>
              </w:rPr>
            </w:pPr>
            <w:r w:rsidRPr="008320F0">
              <w:rPr>
                <w:sz w:val="21"/>
                <w:szCs w:val="21"/>
              </w:rPr>
              <w:t>Pourquoi le Chancelier change-t-il de manière le 26 décembre ? Qui peut être à l’origine de ce changement de cap ? Comment cela se manifeste-t-il concrètement sur le déroulé du procès ? Que dit Madame de Sévigné du rythme du procès ? Que note-t-elle le 1</w:t>
            </w:r>
            <w:r w:rsidRPr="008320F0">
              <w:rPr>
                <w:sz w:val="21"/>
                <w:szCs w:val="21"/>
                <w:vertAlign w:val="superscript"/>
              </w:rPr>
              <w:t>er</w:t>
            </w:r>
            <w:r w:rsidRPr="008320F0">
              <w:rPr>
                <w:sz w:val="21"/>
                <w:szCs w:val="21"/>
              </w:rPr>
              <w:t xml:space="preserve"> décembre ? </w:t>
            </w:r>
          </w:p>
        </w:tc>
      </w:tr>
      <w:tr w:rsidR="00503513" w:rsidRPr="003533D8" w14:paraId="5DFAF281" w14:textId="77777777" w:rsidTr="00503513">
        <w:tc>
          <w:tcPr>
            <w:tcW w:w="1134" w:type="dxa"/>
            <w:shd w:val="clear" w:color="auto" w:fill="E7E6E6" w:themeFill="background2"/>
            <w:vAlign w:val="center"/>
          </w:tcPr>
          <w:p w14:paraId="742EE82F" w14:textId="77777777" w:rsidR="00503513" w:rsidRPr="003533D8" w:rsidRDefault="00503513" w:rsidP="002069AB">
            <w:pPr>
              <w:pStyle w:val="Notes"/>
              <w:spacing w:before="60" w:after="60"/>
              <w:jc w:val="center"/>
              <w:rPr>
                <w:i/>
                <w:iCs/>
                <w:szCs w:val="20"/>
              </w:rPr>
            </w:pPr>
            <w:r w:rsidRPr="003533D8">
              <w:rPr>
                <w:i/>
                <w:iCs/>
                <w:szCs w:val="20"/>
              </w:rPr>
              <w:t>Les accusations</w:t>
            </w:r>
          </w:p>
        </w:tc>
        <w:tc>
          <w:tcPr>
            <w:tcW w:w="8364" w:type="dxa"/>
            <w:vAlign w:val="center"/>
          </w:tcPr>
          <w:p w14:paraId="468E590C" w14:textId="77777777" w:rsidR="00503513" w:rsidRPr="008320F0" w:rsidRDefault="00503513" w:rsidP="002069AB">
            <w:pPr>
              <w:pStyle w:val="Notes"/>
              <w:spacing w:before="60" w:after="60"/>
              <w:jc w:val="left"/>
              <w:rPr>
                <w:sz w:val="21"/>
                <w:szCs w:val="21"/>
              </w:rPr>
            </w:pPr>
            <w:r w:rsidRPr="008320F0">
              <w:rPr>
                <w:sz w:val="21"/>
                <w:szCs w:val="21"/>
              </w:rPr>
              <w:t xml:space="preserve">Isolez les trois chefs d’accusation cités dans les extraits, puis catégorisez les en deux types. </w:t>
            </w:r>
            <w:r w:rsidRPr="008320F0">
              <w:rPr>
                <w:sz w:val="21"/>
                <w:szCs w:val="21"/>
              </w:rPr>
              <w:br/>
              <w:t xml:space="preserve">À l’aide des notes de l’éditeur, apportez quelques éléments factuels sur les accusations portées </w:t>
            </w:r>
            <w:r w:rsidRPr="008320F0">
              <w:rPr>
                <w:sz w:val="21"/>
                <w:szCs w:val="21"/>
              </w:rPr>
              <w:br/>
              <w:t xml:space="preserve">à l’encontre de Fouquet. </w:t>
            </w:r>
            <w:r w:rsidRPr="008320F0">
              <w:rPr>
                <w:sz w:val="21"/>
                <w:szCs w:val="21"/>
              </w:rPr>
              <w:br/>
              <w:t xml:space="preserve">Quel est le problème des accusateurs ? Qui est Foucault ? Pourquoi agit-il de la sorte dans l’extrait du 11 décembre ? Qu’est-ce que cela démontre du procès ? </w:t>
            </w:r>
          </w:p>
        </w:tc>
      </w:tr>
      <w:tr w:rsidR="00503513" w:rsidRPr="003533D8" w14:paraId="30C8A427" w14:textId="77777777" w:rsidTr="00503513">
        <w:tc>
          <w:tcPr>
            <w:tcW w:w="1134" w:type="dxa"/>
            <w:shd w:val="clear" w:color="auto" w:fill="E7E6E6" w:themeFill="background2"/>
            <w:vAlign w:val="center"/>
          </w:tcPr>
          <w:p w14:paraId="7F363433" w14:textId="77777777" w:rsidR="00503513" w:rsidRPr="003533D8" w:rsidRDefault="00503513" w:rsidP="002069AB">
            <w:pPr>
              <w:pStyle w:val="Notes"/>
              <w:spacing w:before="60" w:after="60"/>
              <w:jc w:val="center"/>
              <w:rPr>
                <w:i/>
                <w:iCs/>
                <w:szCs w:val="20"/>
              </w:rPr>
            </w:pPr>
            <w:r w:rsidRPr="003533D8">
              <w:rPr>
                <w:i/>
                <w:iCs/>
                <w:szCs w:val="20"/>
              </w:rPr>
              <w:t xml:space="preserve">L’ombre </w:t>
            </w:r>
            <w:r w:rsidRPr="003533D8">
              <w:rPr>
                <w:i/>
                <w:iCs/>
                <w:szCs w:val="20"/>
              </w:rPr>
              <w:br/>
              <w:t xml:space="preserve">de Colbert </w:t>
            </w:r>
          </w:p>
        </w:tc>
        <w:tc>
          <w:tcPr>
            <w:tcW w:w="8364" w:type="dxa"/>
            <w:vAlign w:val="center"/>
          </w:tcPr>
          <w:p w14:paraId="5D7D7399" w14:textId="77777777" w:rsidR="00503513" w:rsidRPr="008320F0" w:rsidRDefault="00503513" w:rsidP="002069AB">
            <w:pPr>
              <w:pStyle w:val="Notes"/>
              <w:spacing w:before="60" w:after="60"/>
              <w:jc w:val="left"/>
              <w:rPr>
                <w:sz w:val="21"/>
                <w:szCs w:val="21"/>
              </w:rPr>
            </w:pPr>
            <w:r w:rsidRPr="008320F0">
              <w:rPr>
                <w:sz w:val="21"/>
                <w:szCs w:val="21"/>
              </w:rPr>
              <w:t xml:space="preserve">Quelle est l’attitude de Colbert à propos de ce procès ? Comment l’expliquez-vous ? </w:t>
            </w:r>
            <w:r w:rsidRPr="008320F0">
              <w:rPr>
                <w:sz w:val="21"/>
                <w:szCs w:val="21"/>
              </w:rPr>
              <w:br/>
              <w:t xml:space="preserve">Qui est </w:t>
            </w:r>
            <w:proofErr w:type="spellStart"/>
            <w:r w:rsidRPr="008320F0">
              <w:rPr>
                <w:sz w:val="21"/>
                <w:szCs w:val="21"/>
              </w:rPr>
              <w:t>Berrier</w:t>
            </w:r>
            <w:proofErr w:type="spellEnd"/>
            <w:r w:rsidRPr="008320F0">
              <w:rPr>
                <w:sz w:val="21"/>
                <w:szCs w:val="21"/>
              </w:rPr>
              <w:t xml:space="preserve"> ? De quoi est-il accusé l. 9 ? </w:t>
            </w:r>
            <w:r w:rsidR="00687ED3" w:rsidRPr="008320F0">
              <w:rPr>
                <w:sz w:val="21"/>
                <w:szCs w:val="21"/>
              </w:rPr>
              <w:br/>
            </w:r>
            <w:r w:rsidRPr="008320F0">
              <w:rPr>
                <w:sz w:val="21"/>
                <w:szCs w:val="21"/>
              </w:rPr>
              <w:t xml:space="preserve">Qui est </w:t>
            </w:r>
            <w:proofErr w:type="spellStart"/>
            <w:r w:rsidRPr="008320F0">
              <w:rPr>
                <w:sz w:val="21"/>
                <w:szCs w:val="21"/>
              </w:rPr>
              <w:t>Pussort</w:t>
            </w:r>
            <w:proofErr w:type="spellEnd"/>
            <w:r w:rsidRPr="008320F0">
              <w:rPr>
                <w:sz w:val="21"/>
                <w:szCs w:val="21"/>
              </w:rPr>
              <w:t> ? À quelles fins interrompt-il O</w:t>
            </w:r>
            <w:r w:rsidR="00687ED3" w:rsidRPr="008320F0">
              <w:rPr>
                <w:sz w:val="21"/>
                <w:szCs w:val="21"/>
              </w:rPr>
              <w:t>livier</w:t>
            </w:r>
            <w:r w:rsidRPr="008320F0">
              <w:rPr>
                <w:sz w:val="21"/>
                <w:szCs w:val="21"/>
              </w:rPr>
              <w:t xml:space="preserve"> d’Ormesson le 11 décembre ? </w:t>
            </w:r>
          </w:p>
        </w:tc>
      </w:tr>
      <w:tr w:rsidR="00503513" w:rsidRPr="003533D8" w14:paraId="28D33E83" w14:textId="77777777" w:rsidTr="00503513">
        <w:tc>
          <w:tcPr>
            <w:tcW w:w="1134" w:type="dxa"/>
            <w:shd w:val="clear" w:color="auto" w:fill="E7E6E6" w:themeFill="background2"/>
            <w:vAlign w:val="center"/>
          </w:tcPr>
          <w:p w14:paraId="1C4E3167" w14:textId="77777777" w:rsidR="00503513" w:rsidRPr="003533D8" w:rsidRDefault="00503513" w:rsidP="002069AB">
            <w:pPr>
              <w:pStyle w:val="Notes"/>
              <w:spacing w:before="60" w:after="60"/>
              <w:jc w:val="center"/>
              <w:rPr>
                <w:i/>
                <w:iCs/>
                <w:szCs w:val="20"/>
              </w:rPr>
            </w:pPr>
            <w:r w:rsidRPr="003533D8">
              <w:rPr>
                <w:i/>
                <w:iCs/>
                <w:szCs w:val="20"/>
              </w:rPr>
              <w:t>Vers le verdict</w:t>
            </w:r>
          </w:p>
        </w:tc>
        <w:tc>
          <w:tcPr>
            <w:tcW w:w="8364" w:type="dxa"/>
            <w:vAlign w:val="center"/>
          </w:tcPr>
          <w:p w14:paraId="7ECA0FF6" w14:textId="77777777" w:rsidR="00503513" w:rsidRPr="008320F0" w:rsidRDefault="00503513" w:rsidP="002069AB">
            <w:pPr>
              <w:pStyle w:val="Notes"/>
              <w:spacing w:before="60" w:after="60"/>
              <w:jc w:val="left"/>
              <w:rPr>
                <w:sz w:val="21"/>
                <w:szCs w:val="21"/>
              </w:rPr>
            </w:pPr>
            <w:r w:rsidRPr="008320F0">
              <w:rPr>
                <w:sz w:val="21"/>
                <w:szCs w:val="21"/>
              </w:rPr>
              <w:t xml:space="preserve">À l’aide des notes de l’éditeur, identifiez les juges cités le 19 décembre. Combien sont-ils ? Pourquoi ? D’où viennent-ils ? Qu’en concluez-vous des objectifs politiques au moment </w:t>
            </w:r>
            <w:r w:rsidR="00687ED3" w:rsidRPr="008320F0">
              <w:rPr>
                <w:sz w:val="21"/>
                <w:szCs w:val="21"/>
              </w:rPr>
              <w:br/>
            </w:r>
            <w:r w:rsidRPr="008320F0">
              <w:rPr>
                <w:sz w:val="21"/>
                <w:szCs w:val="21"/>
              </w:rPr>
              <w:t xml:space="preserve">de la composition de la chambre ? </w:t>
            </w:r>
          </w:p>
        </w:tc>
      </w:tr>
      <w:tr w:rsidR="00503513" w:rsidRPr="003533D8" w14:paraId="3B4B315E" w14:textId="77777777" w:rsidTr="00503513">
        <w:tc>
          <w:tcPr>
            <w:tcW w:w="1134" w:type="dxa"/>
            <w:shd w:val="clear" w:color="auto" w:fill="E7E6E6" w:themeFill="background2"/>
            <w:vAlign w:val="center"/>
          </w:tcPr>
          <w:p w14:paraId="4B120207" w14:textId="77777777" w:rsidR="00503513" w:rsidRPr="003533D8" w:rsidRDefault="00503513" w:rsidP="002069AB">
            <w:pPr>
              <w:pStyle w:val="Notes"/>
              <w:spacing w:before="60" w:after="60"/>
              <w:jc w:val="center"/>
              <w:rPr>
                <w:i/>
                <w:iCs/>
                <w:szCs w:val="20"/>
              </w:rPr>
            </w:pPr>
            <w:r w:rsidRPr="003533D8">
              <w:rPr>
                <w:i/>
                <w:iCs/>
                <w:szCs w:val="20"/>
              </w:rPr>
              <w:t xml:space="preserve">Madame </w:t>
            </w:r>
            <w:r w:rsidRPr="003533D8">
              <w:rPr>
                <w:i/>
                <w:iCs/>
                <w:szCs w:val="20"/>
              </w:rPr>
              <w:br/>
              <w:t xml:space="preserve">de Sévigné  </w:t>
            </w:r>
          </w:p>
        </w:tc>
        <w:tc>
          <w:tcPr>
            <w:tcW w:w="8364" w:type="dxa"/>
            <w:vAlign w:val="center"/>
          </w:tcPr>
          <w:p w14:paraId="0CE4A99A" w14:textId="77777777" w:rsidR="00503513" w:rsidRPr="008320F0" w:rsidRDefault="00503513" w:rsidP="002069AB">
            <w:pPr>
              <w:pStyle w:val="Notes"/>
              <w:spacing w:before="60" w:after="60"/>
              <w:jc w:val="left"/>
              <w:rPr>
                <w:sz w:val="21"/>
                <w:szCs w:val="21"/>
              </w:rPr>
            </w:pPr>
            <w:r w:rsidRPr="008320F0">
              <w:rPr>
                <w:sz w:val="21"/>
                <w:szCs w:val="21"/>
              </w:rPr>
              <w:t xml:space="preserve">Qui est la source de Madame de Sévigné à l’intérieur de la chambre ? </w:t>
            </w:r>
            <w:r w:rsidR="008320F0" w:rsidRPr="008320F0">
              <w:rPr>
                <w:sz w:val="21"/>
                <w:szCs w:val="21"/>
              </w:rPr>
              <w:br/>
            </w:r>
            <w:r w:rsidRPr="008320F0">
              <w:rPr>
                <w:sz w:val="21"/>
                <w:szCs w:val="21"/>
              </w:rPr>
              <w:t xml:space="preserve">Que se passe-t-il le 5 décembre ? </w:t>
            </w:r>
            <w:r w:rsidRPr="008320F0">
              <w:rPr>
                <w:sz w:val="21"/>
                <w:szCs w:val="21"/>
              </w:rPr>
              <w:br/>
              <w:t xml:space="preserve">Le récit détaillé des séances s’arrête-t-il après cette date ? Qu’en concluez-vous ?  </w:t>
            </w:r>
          </w:p>
        </w:tc>
      </w:tr>
    </w:tbl>
    <w:p w14:paraId="4EB1B45F" w14:textId="77777777" w:rsidR="00174276" w:rsidRDefault="00503513" w:rsidP="00174276">
      <w:pPr>
        <w:pStyle w:val="Sansinterligne"/>
      </w:pPr>
      <w:r>
        <w:t>2</w:t>
      </w:r>
      <w:r w:rsidR="00174276">
        <w:t xml:space="preserve">. </w:t>
      </w:r>
      <w:r w:rsidR="00647DC4">
        <w:t>Les enjeux du procès de Nicolas Fouquet</w:t>
      </w:r>
    </w:p>
    <w:p w14:paraId="12617675" w14:textId="77777777" w:rsidR="00DF190E" w:rsidRPr="00DC6170" w:rsidRDefault="00DC6170" w:rsidP="00DF190E">
      <w:pPr>
        <w:rPr>
          <w:rFonts w:cs="Times New Roman"/>
        </w:rPr>
      </w:pPr>
      <w:r>
        <w:t>« </w:t>
      </w:r>
      <w:r w:rsidRPr="00DC6170">
        <w:t xml:space="preserve">Lorsque le procès commence, le chancelier Séguier préside les débats et fait bien comprendre aux juges ce que l’on souhaite d’eux. Fouquet est accusé de lèse-majesté – le projet de Saint-Mandé y fait penser – et de « péculat » - ce qui consiste à utiliser l’argent du roi à de mauvaises fins ou à lever des impôts sans l’autorisation royale. Ces deux crimes entraînent la peine de mort. Les magistrats se montrent sensibles aux arguments préparés par Colbert et exprimés au nom de Louis XIV, mais, en même temps, ils examinent les preuves, tiennent compte des témoignages et mettent en avant leur honneur. Le coup de majesté par Louis XIV reste limité, puisque la justice du roi ne s’exerce pas brutalement : Fouquet a droit à un vrai procès, mais avec des juges choisis par le roi. En revanche, c’est aussi une machination puisqu’il a fallu trouver des preuves, convaincre le roi et conserver le secret sur tous ces préparatifs. Pendant les débats, la chambre revient sur le plan de Saint-Mandé. Le chancelier Séguier accuse d’un « crime d’État » Fouquet, qui répond : « Je confesse, </w:t>
      </w:r>
      <w:r w:rsidRPr="00DC6170">
        <w:rPr>
          <w:rFonts w:cs="Times New Roman"/>
        </w:rPr>
        <w:t xml:space="preserve">[…] et que d’un coup on se met à la tête du conseil de ses ennemis ». Fouquet fait allusion à l’attitude ambiguë du chancelier pendant la Fronde. Cette attaque frontale enchante les partisans du prisonnier, puisqu’elle est racontée par Mme de Sévigné […]. </w:t>
      </w:r>
    </w:p>
    <w:p w14:paraId="400A2718" w14:textId="77777777" w:rsidR="00DC6170" w:rsidRDefault="00DC6170" w:rsidP="00DF190E">
      <w:r>
        <w:t>En 1664, Louis XIV convoque les rapporteurs, dont Olivier Lefèvre d’Ormesson, et demande de terminer le procès. Lefèvre d’Ormesson dresse un réquisitoire nuancé, considérant qu’il n’y a ni crime d’État ni crime de péculat. Sa démarche est complexe car il ne veut pas humilier le roi tout en évitant à Fouquet la peine de mort. Le 21 décembre 1664, les juges se contentent du bannissement hors du royaume – sur 22, seulement 9 demandent la peine capitale. Ce jugement apparaît comme un désaveu ou un camouflet pour Louis XIV : celui-ci aggrave la peine et la transforme en détention perpétuelle à Pignerol, une forteresse des Alpes du côté du Piémont, où Fouquet reste jusqu’à sa mort. »</w:t>
      </w:r>
    </w:p>
    <w:p w14:paraId="608A8D39" w14:textId="77777777" w:rsidR="00753EBC" w:rsidRPr="008320F0" w:rsidRDefault="00DC6170" w:rsidP="008320F0">
      <w:pPr>
        <w:jc w:val="right"/>
        <w:rPr>
          <w:sz w:val="20"/>
        </w:rPr>
        <w:sectPr w:rsidR="00753EBC" w:rsidRPr="008320F0" w:rsidSect="00D3596E">
          <w:pgSz w:w="11905" w:h="16837"/>
          <w:pgMar w:top="843" w:right="1417" w:bottom="1152" w:left="1417" w:header="708" w:footer="708" w:gutter="0"/>
          <w:cols w:space="708"/>
          <w:docGrid w:linePitch="360"/>
        </w:sectPr>
      </w:pPr>
      <w:r w:rsidRPr="00DC6170">
        <w:rPr>
          <w:sz w:val="20"/>
        </w:rPr>
        <w:t xml:space="preserve">L. </w:t>
      </w:r>
      <w:proofErr w:type="spellStart"/>
      <w:r w:rsidRPr="00E42CB4">
        <w:rPr>
          <w:smallCaps/>
          <w:sz w:val="20"/>
        </w:rPr>
        <w:t>Bély</w:t>
      </w:r>
      <w:proofErr w:type="spellEnd"/>
      <w:r w:rsidRPr="00DC6170">
        <w:rPr>
          <w:sz w:val="20"/>
        </w:rPr>
        <w:t xml:space="preserve">, « Fouquet, procès de », dans Id., </w:t>
      </w:r>
      <w:r w:rsidRPr="00DC6170">
        <w:rPr>
          <w:i/>
          <w:sz w:val="20"/>
        </w:rPr>
        <w:t>Dictionnaire Louis XIV</w:t>
      </w:r>
      <w:r w:rsidRPr="00DC6170">
        <w:rPr>
          <w:sz w:val="20"/>
        </w:rPr>
        <w:t xml:space="preserve">, </w:t>
      </w:r>
      <w:r w:rsidRPr="00DC6170">
        <w:rPr>
          <w:sz w:val="20"/>
        </w:rPr>
        <w:br/>
        <w:t xml:space="preserve">Paris, Robert Laffont, 2015, p. 522. </w:t>
      </w:r>
    </w:p>
    <w:p w14:paraId="3E58A4D1" w14:textId="77777777" w:rsidR="00753EBC" w:rsidRDefault="00753EBC" w:rsidP="00E46092">
      <w:pPr>
        <w:pStyle w:val="Titre"/>
      </w:pPr>
      <w:r w:rsidRPr="00607133">
        <w:lastRenderedPageBreak/>
        <w:t xml:space="preserve">Séance 9. </w:t>
      </w:r>
      <w:r w:rsidR="00E46092">
        <w:t>Savoir et pouvoir : le rôle des académies</w:t>
      </w:r>
      <w:r>
        <w:t xml:space="preserve"> </w:t>
      </w:r>
    </w:p>
    <w:p w14:paraId="69B7A8FC" w14:textId="77777777" w:rsidR="003E1EB6" w:rsidRDefault="003E1EB6" w:rsidP="003E1EB6">
      <w:pPr>
        <w:pStyle w:val="Sansinterligne"/>
      </w:pPr>
      <w:r>
        <w:t>Source. Le règlement de l’Académie royale des sciences (1699)</w:t>
      </w:r>
    </w:p>
    <w:p w14:paraId="45DABB31" w14:textId="77777777" w:rsidR="002607F0" w:rsidRPr="00EE4376" w:rsidRDefault="002607F0" w:rsidP="002607F0">
      <w:pPr>
        <w:ind w:firstLine="284"/>
      </w:pPr>
      <w:r w:rsidRPr="00EE4376">
        <w:t>(…) Le Roy voulant continuer à donner des marques de son affection à l’Académie Royale des Sciences, Sa Majesté a résolue le présent règlement, lequel Elle veut, &amp; entend être</w:t>
      </w:r>
      <w:r w:rsidR="005A5839">
        <w:t xml:space="preserve"> </w:t>
      </w:r>
      <w:r w:rsidRPr="00EE4376">
        <w:t>exactement observé.</w:t>
      </w:r>
    </w:p>
    <w:p w14:paraId="734C1300" w14:textId="77777777" w:rsidR="002607F0" w:rsidRPr="00EE4376" w:rsidRDefault="002607F0" w:rsidP="002607F0">
      <w:pPr>
        <w:ind w:firstLine="284"/>
      </w:pPr>
      <w:r w:rsidRPr="00EE4376">
        <w:t>I. L’Académie Royale des Sciences demeurera toujours sous la protection du Roi, &amp; recevra ses ordres par celui des Secrétaires d’État, à qui il plaira à Sa Majesté d’en donner le soin.</w:t>
      </w:r>
    </w:p>
    <w:p w14:paraId="4881DCC9" w14:textId="77777777" w:rsidR="002607F0" w:rsidRPr="00EE4376" w:rsidRDefault="002607F0" w:rsidP="002607F0">
      <w:pPr>
        <w:ind w:firstLine="284"/>
      </w:pPr>
      <w:r w:rsidRPr="00EE4376">
        <w:t xml:space="preserve">II. Ladite Académie </w:t>
      </w:r>
      <w:r w:rsidR="003E1EB6">
        <w:t>s</w:t>
      </w:r>
      <w:r w:rsidRPr="00EE4376">
        <w:t>era toujours composée de quatre sortes d’Académiciens, les Honoraires, les Pensionnaires, les Associez &amp; les Élèves</w:t>
      </w:r>
      <w:r w:rsidR="005A5839">
        <w:t xml:space="preserve"> </w:t>
      </w:r>
      <w:r w:rsidRPr="00EE4376">
        <w:t xml:space="preserve">: la première </w:t>
      </w:r>
      <w:r>
        <w:t>classe</w:t>
      </w:r>
      <w:r w:rsidRPr="00EE4376">
        <w:t xml:space="preserve"> composée de dix personnes, &amp; les trois autres chacune de vingt</w:t>
      </w:r>
      <w:r w:rsidR="00397664">
        <w:t xml:space="preserve"> </w:t>
      </w:r>
      <w:r w:rsidRPr="00EE4376">
        <w:t>: &amp; nul ne sera admis dans aucune de ces quatre classes, que par le choix ou l’agrément de Sa Majesté.</w:t>
      </w:r>
      <w:r w:rsidR="003E1EB6">
        <w:t xml:space="preserve"> </w:t>
      </w:r>
    </w:p>
    <w:p w14:paraId="38FFF98A" w14:textId="77777777" w:rsidR="002607F0" w:rsidRPr="00EE4376" w:rsidRDefault="002607F0" w:rsidP="002607F0">
      <w:pPr>
        <w:ind w:firstLine="284"/>
      </w:pPr>
      <w:r w:rsidRPr="00EE4376">
        <w:t>III. Les Honoraires seront tous Régnicoles, &amp; recommandables par leur intelligence dans les Mathématiques, ou dans la Physique</w:t>
      </w:r>
      <w:r w:rsidR="005A5839">
        <w:t xml:space="preserve"> </w:t>
      </w:r>
      <w:r w:rsidRPr="00EE4376">
        <w:t>; desquels l’un sera Président</w:t>
      </w:r>
      <w:r w:rsidR="005A5839">
        <w:t xml:space="preserve"> </w:t>
      </w:r>
      <w:r w:rsidRPr="00EE4376">
        <w:t>; &amp; aucun</w:t>
      </w:r>
      <w:r>
        <w:t xml:space="preserve"> </w:t>
      </w:r>
      <w:r w:rsidRPr="00EE4376">
        <w:t>d’eux ne pourra devenir Pensionnaire.</w:t>
      </w:r>
    </w:p>
    <w:p w14:paraId="4F14F9E6" w14:textId="77777777" w:rsidR="002607F0" w:rsidRPr="00EE4376" w:rsidRDefault="002607F0" w:rsidP="002607F0">
      <w:pPr>
        <w:ind w:firstLine="284"/>
      </w:pPr>
      <w:r w:rsidRPr="00EE4376">
        <w:t>IV. Les Pensionnaires seront tous établis à Paris</w:t>
      </w:r>
      <w:r w:rsidR="005A5839">
        <w:t xml:space="preserve"> </w:t>
      </w:r>
      <w:r w:rsidRPr="00EE4376">
        <w:t>; trois Géomètres, trois Astronomes, trois</w:t>
      </w:r>
      <w:r>
        <w:t xml:space="preserve"> </w:t>
      </w:r>
      <w:r w:rsidRPr="00EE4376">
        <w:t>Mécaniciens, trois Anatomistes, trois Chimistes, trois Botanistes, un Secrétaire, &amp;</w:t>
      </w:r>
      <w:r>
        <w:t xml:space="preserve"> </w:t>
      </w:r>
      <w:r w:rsidRPr="00EE4376">
        <w:t>un Trésorier. Et lorsqu’il arrivera que quelqu’un d’entre eux sera appelé à quelque</w:t>
      </w:r>
      <w:r>
        <w:t xml:space="preserve"> </w:t>
      </w:r>
      <w:r w:rsidRPr="00EE4376">
        <w:t>Charge ou Commission demandant résidence hors de Paris, Il sera pourvu à sa place,</w:t>
      </w:r>
      <w:r>
        <w:t xml:space="preserve"> </w:t>
      </w:r>
      <w:r w:rsidRPr="00EE4376">
        <w:t>de même que si elle avait vaqué par décès.</w:t>
      </w:r>
      <w:r>
        <w:t xml:space="preserve"> </w:t>
      </w:r>
    </w:p>
    <w:p w14:paraId="72C3D36E" w14:textId="77777777" w:rsidR="002607F0" w:rsidRPr="00EE4376" w:rsidRDefault="002607F0" w:rsidP="002607F0">
      <w:pPr>
        <w:ind w:firstLine="284"/>
      </w:pPr>
      <w:r w:rsidRPr="00EE4376">
        <w:t>V. Les Associ</w:t>
      </w:r>
      <w:r>
        <w:t>és</w:t>
      </w:r>
      <w:r w:rsidRPr="00EE4376">
        <w:t xml:space="preserve"> seront e</w:t>
      </w:r>
      <w:r w:rsidR="00DA1DD6">
        <w:t>n</w:t>
      </w:r>
      <w:r w:rsidRPr="00EE4376">
        <w:t xml:space="preserve"> pareil nombre, douze desquels ne pourront être que Régnicoles,</w:t>
      </w:r>
      <w:r>
        <w:t xml:space="preserve"> </w:t>
      </w:r>
      <w:r w:rsidRPr="00EE4376">
        <w:t>deux appliqu</w:t>
      </w:r>
      <w:r w:rsidR="005A5839">
        <w:t>és</w:t>
      </w:r>
      <w:r w:rsidRPr="00EE4376">
        <w:t xml:space="preserve"> à la Géométrie, deu</w:t>
      </w:r>
      <w:r>
        <w:t xml:space="preserve">x </w:t>
      </w:r>
      <w:r w:rsidRPr="00EE4376">
        <w:t>: à l’Astronomie, deux aux Mécaniques, deux à l’Anatomi</w:t>
      </w:r>
      <w:r>
        <w:t>e</w:t>
      </w:r>
      <w:r w:rsidRPr="00EE4376">
        <w:t>, deux à la Chimie, deux à la Botanique</w:t>
      </w:r>
      <w:r w:rsidR="005A5839">
        <w:t xml:space="preserve"> </w:t>
      </w:r>
      <w:r w:rsidRPr="00EE4376">
        <w:t>: les huit autres pourront être Étrangers, &amp; s’appliquer à elles d’entre ces diverses Sciences pour lesquelles ils auront plus d’inclination &amp; de talent.</w:t>
      </w:r>
    </w:p>
    <w:p w14:paraId="5D930BDC" w14:textId="77777777" w:rsidR="002607F0" w:rsidRPr="00EE4376" w:rsidRDefault="002607F0" w:rsidP="002607F0">
      <w:pPr>
        <w:ind w:firstLine="284"/>
      </w:pPr>
      <w:r w:rsidRPr="00EE4376">
        <w:t>VIII. Pour remplir les places de Pensionnaires, l’Académie élira trois Sujets desquels deux</w:t>
      </w:r>
      <w:r>
        <w:t xml:space="preserve"> </w:t>
      </w:r>
      <w:r w:rsidRPr="00EE4376">
        <w:t>au moins seront Associ</w:t>
      </w:r>
      <w:r>
        <w:t>és</w:t>
      </w:r>
      <w:r w:rsidRPr="00EE4376">
        <w:t xml:space="preserve"> ou </w:t>
      </w:r>
      <w:r>
        <w:t>Élèves</w:t>
      </w:r>
      <w:r w:rsidRPr="00EE4376">
        <w:t>, &amp; ils seront propos</w:t>
      </w:r>
      <w:r w:rsidR="005A5839">
        <w:t>és</w:t>
      </w:r>
      <w:r w:rsidRPr="00EE4376">
        <w:t xml:space="preserve"> à Sa Majesté, afin qu’il lui plaise en choisir un.</w:t>
      </w:r>
    </w:p>
    <w:p w14:paraId="6D3ADC26" w14:textId="77777777" w:rsidR="002607F0" w:rsidRPr="00EE4376" w:rsidRDefault="002607F0" w:rsidP="002607F0">
      <w:pPr>
        <w:ind w:firstLine="284"/>
      </w:pPr>
      <w:r w:rsidRPr="00EE4376">
        <w:t>IX. Pour remplir les places d’Associ</w:t>
      </w:r>
      <w:r w:rsidR="00CC5D78">
        <w:t>és</w:t>
      </w:r>
      <w:r w:rsidRPr="00EE4376">
        <w:t>, l’Académie élira deux Sujets desquels un au</w:t>
      </w:r>
      <w:r>
        <w:t xml:space="preserve"> </w:t>
      </w:r>
      <w:r w:rsidRPr="00EE4376">
        <w:t>moins pourra être pris du nombre des élèves</w:t>
      </w:r>
      <w:r w:rsidR="005A5839">
        <w:t xml:space="preserve"> </w:t>
      </w:r>
      <w:r w:rsidRPr="00EE4376">
        <w:t>; &amp; ils seront propos</w:t>
      </w:r>
      <w:r w:rsidR="005A5839">
        <w:t>és</w:t>
      </w:r>
      <w:r w:rsidRPr="00EE4376">
        <w:t xml:space="preserve"> à Sa Majesté, afin qu’il lui plaise en choisir un.</w:t>
      </w:r>
    </w:p>
    <w:p w14:paraId="061C86DC" w14:textId="77777777" w:rsidR="002607F0" w:rsidRPr="00EE4376" w:rsidRDefault="002607F0" w:rsidP="002607F0">
      <w:pPr>
        <w:ind w:firstLine="284"/>
      </w:pPr>
      <w:r w:rsidRPr="00EE4376">
        <w:t>X. Pour remplir les places d’</w:t>
      </w:r>
      <w:r>
        <w:t>É</w:t>
      </w:r>
      <w:r w:rsidRPr="00EE4376">
        <w:t>l</w:t>
      </w:r>
      <w:r>
        <w:t>è</w:t>
      </w:r>
      <w:r w:rsidRPr="00EE4376">
        <w:t>ves, chacun des Pensionnaires s’en pourra choisir un qu’il présentera à la Compagnie, qui en délibèrera</w:t>
      </w:r>
      <w:r w:rsidR="005A5839">
        <w:t xml:space="preserve"> </w:t>
      </w:r>
      <w:r w:rsidRPr="00EE4376">
        <w:t>; &amp; s’il est agréé à la pluralité des voix, il sera proposé à Sa Majesté.</w:t>
      </w:r>
    </w:p>
    <w:p w14:paraId="0F6E4C83" w14:textId="77777777" w:rsidR="002607F0" w:rsidRPr="00EE4376" w:rsidRDefault="002607F0" w:rsidP="002607F0">
      <w:pPr>
        <w:ind w:firstLine="284"/>
      </w:pPr>
      <w:r w:rsidRPr="00EE4376">
        <w:t>XI. Nul ne pourra être proposé à Sa Majesté, pour remplir aucune desdites places d’Académicien, s’il n’est de bonne mœurs, &amp; de probité reconnue.</w:t>
      </w:r>
    </w:p>
    <w:p w14:paraId="157A05F9" w14:textId="77777777" w:rsidR="002607F0" w:rsidRDefault="002607F0" w:rsidP="002607F0">
      <w:pPr>
        <w:ind w:firstLine="284"/>
      </w:pPr>
      <w:r w:rsidRPr="00EE4376">
        <w:t>XV. Nul ne pourra être proposé pour les places d’</w:t>
      </w:r>
      <w:r>
        <w:t>É</w:t>
      </w:r>
      <w:r w:rsidRPr="00EE4376">
        <w:t>lèves, qu’il n’ait vingt ans au moins.</w:t>
      </w:r>
      <w:r>
        <w:t xml:space="preserve"> </w:t>
      </w:r>
    </w:p>
    <w:p w14:paraId="0543E6C5" w14:textId="77777777" w:rsidR="002607F0" w:rsidRPr="00EE4376" w:rsidRDefault="002607F0" w:rsidP="002607F0">
      <w:pPr>
        <w:ind w:firstLine="284"/>
      </w:pPr>
      <w:r w:rsidRPr="00EE4376">
        <w:t>XVI. Les Assemblées ordinaires de l’Académie se tiendront à la Bibliothèque du Roi, les Mercredis &amp; Samedis de chaque semaine</w:t>
      </w:r>
      <w:r w:rsidR="005A5839">
        <w:t xml:space="preserve"> </w:t>
      </w:r>
      <w:r w:rsidRPr="00EE4376">
        <w:t xml:space="preserve">; &amp; lorsque lesdits jours il se rencontrera quelque Fête, l’Assemblée se tiendra le jour </w:t>
      </w:r>
      <w:r>
        <w:t>précédent</w:t>
      </w:r>
      <w:r w:rsidRPr="00EE4376">
        <w:t>.</w:t>
      </w:r>
    </w:p>
    <w:p w14:paraId="18F8C7B8" w14:textId="77777777" w:rsidR="002607F0" w:rsidRPr="00EE4376" w:rsidRDefault="002607F0" w:rsidP="002607F0">
      <w:pPr>
        <w:ind w:firstLine="284"/>
      </w:pPr>
      <w:r w:rsidRPr="00EE4376">
        <w:t>XIX. Les Académiciens seront assidus à tous les jours d’Assemblées</w:t>
      </w:r>
      <w:r w:rsidR="005A5839">
        <w:t xml:space="preserve"> </w:t>
      </w:r>
      <w:r w:rsidRPr="00EE4376">
        <w:t xml:space="preserve">; &amp; nul des Pensionnaires ne pourra s’absenter plus de deux mois pour ses affaires particulières, </w:t>
      </w:r>
      <w:r>
        <w:t>(…)</w:t>
      </w:r>
      <w:r w:rsidRPr="00EE4376">
        <w:t>, sans un congé exprès de Sa Majesté.</w:t>
      </w:r>
    </w:p>
    <w:p w14:paraId="1B12A182" w14:textId="77777777" w:rsidR="002607F0" w:rsidRPr="00EE4376" w:rsidRDefault="002607F0" w:rsidP="002607F0">
      <w:pPr>
        <w:ind w:firstLine="284"/>
      </w:pPr>
      <w:r w:rsidRPr="00EE4376">
        <w:t>XXVII. L’Académie aura soin d’entretenir commerce avec les divers savants, soit de Paris &amp; des Provinces du Royaume, soit même des Pays étrangers, afin d’être promptement informée de ce qui s’y passera de curieux pour les Mathématiques, ou pour la Physique</w:t>
      </w:r>
      <w:r w:rsidR="005A5839">
        <w:t xml:space="preserve"> </w:t>
      </w:r>
      <w:r w:rsidRPr="00EE4376">
        <w:t>; &amp; dans les élections pour remplir des places d’Académiciens, elle donnera beaucoup de préférence aux Savants qui auront été les plus exacts à cette espèce de commerce.</w:t>
      </w:r>
    </w:p>
    <w:p w14:paraId="34CAAC87" w14:textId="77777777" w:rsidR="008623FD" w:rsidRDefault="008623FD" w:rsidP="002607F0">
      <w:pPr>
        <w:ind w:firstLine="284"/>
      </w:pPr>
      <w:r>
        <w:br w:type="page"/>
      </w:r>
    </w:p>
    <w:p w14:paraId="5E4988A3" w14:textId="77777777" w:rsidR="002607F0" w:rsidRPr="00EE4376" w:rsidRDefault="002607F0" w:rsidP="002607F0">
      <w:pPr>
        <w:ind w:firstLine="284"/>
      </w:pPr>
      <w:r w:rsidRPr="00EE4376">
        <w:lastRenderedPageBreak/>
        <w:t>XXVIII. L’Académie chargera quelqu’un des Académiciens de lire les Ouvrages importants de</w:t>
      </w:r>
      <w:r>
        <w:t xml:space="preserve"> </w:t>
      </w:r>
      <w:r w:rsidRPr="00EE4376">
        <w:t>Physique ou de Mathématique qui paraîtront, soit en France, soit ailleurs</w:t>
      </w:r>
      <w:r w:rsidR="005A5839">
        <w:t xml:space="preserve"> </w:t>
      </w:r>
      <w:r w:rsidRPr="00EE4376">
        <w:t>; &amp; celui qu’elle aura chargé de cette lecture, en</w:t>
      </w:r>
      <w:r>
        <w:t xml:space="preserve"> </w:t>
      </w:r>
      <w:r w:rsidRPr="00EE4376">
        <w:t>fera son rapport à la Compagnie sans en faire la critique, en marquant seulement s’il y a des vues dont on puisse profiter.</w:t>
      </w:r>
    </w:p>
    <w:p w14:paraId="460BCE00" w14:textId="77777777" w:rsidR="002607F0" w:rsidRPr="00EE4376" w:rsidRDefault="002607F0" w:rsidP="002607F0">
      <w:pPr>
        <w:ind w:firstLine="284"/>
      </w:pPr>
      <w:r w:rsidRPr="00EE4376">
        <w:t>XXIX. L’Académie fera de nouveau les Expériences considérables qui se seront faites par</w:t>
      </w:r>
      <w:r>
        <w:t xml:space="preserve"> </w:t>
      </w:r>
      <w:r w:rsidRPr="00EE4376">
        <w:t>tout ailleurs, &amp; marquera dans ses Registres la conformité ou la différence des siennes à celles dont il était question.</w:t>
      </w:r>
    </w:p>
    <w:p w14:paraId="4DEAA858" w14:textId="77777777" w:rsidR="002607F0" w:rsidRPr="00EE4376" w:rsidRDefault="002607F0" w:rsidP="002607F0">
      <w:pPr>
        <w:ind w:firstLine="284"/>
      </w:pPr>
      <w:r w:rsidRPr="00EE4376">
        <w:t>XXXI. L’Académie examinera, si le Roi l’ordonne, toutes machines pour lesquelles on sollicitera des Privilèges auprès de Sa Majesté. Elle certifiera si elles sont nouvelles &amp;</w:t>
      </w:r>
      <w:r w:rsidR="005A5839">
        <w:t xml:space="preserve"> </w:t>
      </w:r>
      <w:proofErr w:type="gramStart"/>
      <w:r w:rsidRPr="00EE4376">
        <w:t>utiles:</w:t>
      </w:r>
      <w:proofErr w:type="gramEnd"/>
      <w:r w:rsidRPr="00EE4376">
        <w:t xml:space="preserve"> &amp; les Inventeurs de celles qui seront approuvées, seront tenus de lui en laisser</w:t>
      </w:r>
      <w:r>
        <w:t xml:space="preserve"> </w:t>
      </w:r>
      <w:r w:rsidRPr="00EE4376">
        <w:t>un modèle.</w:t>
      </w:r>
    </w:p>
    <w:p w14:paraId="3E4929B6" w14:textId="77777777" w:rsidR="002607F0" w:rsidRPr="00EE4376" w:rsidRDefault="002607F0" w:rsidP="002607F0">
      <w:pPr>
        <w:ind w:firstLine="284"/>
      </w:pPr>
      <w:r w:rsidRPr="00EE4376">
        <w:t>XXXVII. Le Président sera très-attentif à ce que le bon ordre soit fidèlement observé dans chaque Assemblée, &amp; dans ce qui concern</w:t>
      </w:r>
      <w:r>
        <w:t>e</w:t>
      </w:r>
      <w:r w:rsidRPr="00EE4376">
        <w:t xml:space="preserve"> l’Académie</w:t>
      </w:r>
      <w:r w:rsidR="005A5839">
        <w:t xml:space="preserve"> </w:t>
      </w:r>
      <w:r w:rsidRPr="00EE4376">
        <w:t>; il en rendra un compte exact à Sa Majesté, ou au Secrétaire d’État à qui le Roi aura donné le soin de ladite Académie.</w:t>
      </w:r>
    </w:p>
    <w:p w14:paraId="17D1FA9E" w14:textId="77777777" w:rsidR="002607F0" w:rsidRPr="00EE4376" w:rsidRDefault="002607F0" w:rsidP="002607F0">
      <w:pPr>
        <w:ind w:firstLine="284"/>
      </w:pPr>
      <w:r w:rsidRPr="00EE4376">
        <w:t>XXXIX. Le Président sera nommé par Sa Majesté au premier Janvier de chaque an</w:t>
      </w:r>
      <w:r>
        <w:t>n</w:t>
      </w:r>
      <w:r w:rsidRPr="00EE4376">
        <w:t>ée</w:t>
      </w:r>
      <w:r w:rsidR="005A5839">
        <w:t xml:space="preserve"> </w:t>
      </w:r>
      <w:r w:rsidRPr="00EE4376">
        <w:t>: mais</w:t>
      </w:r>
      <w:r>
        <w:t xml:space="preserve"> </w:t>
      </w:r>
      <w:r w:rsidRPr="00EE4376">
        <w:t>quoique chaque année il ait ainsi besoin d’une nouvelle nomination, il pourra être continué tant qu’il plaira à Sa Majesté</w:t>
      </w:r>
      <w:r w:rsidR="00397664">
        <w:t xml:space="preserve"> </w:t>
      </w:r>
      <w:r w:rsidRPr="00EE4376">
        <w:t>; &amp; comme par l’indisposition ou par la nécessité de ses affaires, il pourrait arriver qu’il manquerait à quelque Assemblée, Sa Majesté nommera en même temps un autre Académicien pour présider en l’absence dudit Président.</w:t>
      </w:r>
    </w:p>
    <w:p w14:paraId="6D884E85" w14:textId="77777777" w:rsidR="002607F0" w:rsidRPr="00EE4376" w:rsidRDefault="002607F0" w:rsidP="002607F0">
      <w:pPr>
        <w:ind w:firstLine="284"/>
      </w:pPr>
      <w:r w:rsidRPr="00EE4376">
        <w:t>XLVI. Pour faciliter l’impression des divers Ouvrages pourront composer les Académiciens, Sa Majesté permet à l’Académie de se choisir un Libraire, auquel en conséquence de ce choix, le Roi fera expédier les privilèges nécessaires pour imprimer &amp; distribuer les Ouvrages des Académiciens que l’Académie aura approuvez.</w:t>
      </w:r>
    </w:p>
    <w:p w14:paraId="21393D54" w14:textId="77777777" w:rsidR="002607F0" w:rsidRPr="00EE4376" w:rsidRDefault="002607F0" w:rsidP="002607F0">
      <w:pPr>
        <w:ind w:firstLine="284"/>
      </w:pPr>
      <w:r w:rsidRPr="00EE4376">
        <w:t>XLVII. Pour encourager les Académiciens à la continuation de leurs travaux, Sa Majesté continuera à leur faire payer les pensions ordinaires, &amp; même des gratifications extraordinaires suivant le mérite de leurs Ouvrages.</w:t>
      </w:r>
    </w:p>
    <w:p w14:paraId="2BF2807B" w14:textId="77777777" w:rsidR="002607F0" w:rsidRPr="00EE4376" w:rsidRDefault="002607F0" w:rsidP="002607F0">
      <w:pPr>
        <w:ind w:firstLine="284"/>
      </w:pPr>
      <w:r w:rsidRPr="00EE4376">
        <w:t>XLVIII. Pour aider les Académiciens dans leurs études, &amp; leur faciliter les moyens de perfectionner leur Science, le Roi continuera de fournir aux frais nécessaires pour les diverses expériences recherches que chaque Académicien pourra faire.</w:t>
      </w:r>
    </w:p>
    <w:p w14:paraId="1137B4AB" w14:textId="77777777" w:rsidR="002607F0" w:rsidRPr="00EE4376" w:rsidRDefault="002607F0" w:rsidP="002607F0">
      <w:pPr>
        <w:ind w:firstLine="284"/>
      </w:pPr>
      <w:r w:rsidRPr="00EE4376">
        <w:t>XLIX. Pour récompenser l’assiduité aux Assemblées de l’Académie, Sa Majesté fera</w:t>
      </w:r>
      <w:r>
        <w:t xml:space="preserve"> </w:t>
      </w:r>
      <w:r w:rsidRPr="00EE4376">
        <w:t>distribuer à chaque Assemblée quarante jetons à tous ceux d’entre les Académiciens Pensionnaires qui seront présents.</w:t>
      </w:r>
    </w:p>
    <w:p w14:paraId="211AD0A0" w14:textId="77777777" w:rsidR="002607F0" w:rsidRPr="00EE4376" w:rsidRDefault="002607F0" w:rsidP="002607F0">
      <w:pPr>
        <w:ind w:firstLine="284"/>
      </w:pPr>
      <w:r w:rsidRPr="00EE4376">
        <w:t>L. Veut Sa Majesté que le présent Règlement soit dans la prochaine Assemblée, inséré dan</w:t>
      </w:r>
      <w:r>
        <w:t>s</w:t>
      </w:r>
      <w:r w:rsidRPr="00EE4376">
        <w:t xml:space="preserve"> les Registres, pour être exactement observé suivant sa forme &amp; teneur</w:t>
      </w:r>
      <w:r w:rsidR="00397664">
        <w:t xml:space="preserve"> </w:t>
      </w:r>
      <w:r w:rsidRPr="00EE4376">
        <w:t xml:space="preserve">; &amp; s’il arrivait qu’aucun Académicien y contrevint en quelque partie, Sa Majesté en ordonnera la punition suivant l’exigence du cas. </w:t>
      </w:r>
    </w:p>
    <w:p w14:paraId="1CC24F10" w14:textId="77777777" w:rsidR="002607F0" w:rsidRDefault="002607F0" w:rsidP="002607F0">
      <w:pPr>
        <w:ind w:firstLine="284"/>
      </w:pPr>
      <w:r w:rsidRPr="00EE4376">
        <w:t xml:space="preserve">Fait à Versailles le vingt-sixième de Janv. </w:t>
      </w:r>
      <w:r>
        <w:t>1699</w:t>
      </w:r>
      <w:r w:rsidRPr="00EE4376">
        <w:t xml:space="preserve">. Signé </w:t>
      </w:r>
      <w:r>
        <w:t>Louis</w:t>
      </w:r>
      <w:r w:rsidRPr="00EE4376">
        <w:t xml:space="preserve">. Et plus bas, </w:t>
      </w:r>
      <w:proofErr w:type="spellStart"/>
      <w:r w:rsidRPr="00EE4376">
        <w:t>Phelipeaux</w:t>
      </w:r>
      <w:proofErr w:type="spellEnd"/>
      <w:r w:rsidRPr="00EE4376">
        <w:t>.</w:t>
      </w:r>
    </w:p>
    <w:p w14:paraId="655FD07B" w14:textId="77777777" w:rsidR="002607F0" w:rsidRDefault="002607F0" w:rsidP="002607F0">
      <w:pPr>
        <w:pStyle w:val="Notes"/>
        <w:jc w:val="right"/>
      </w:pPr>
    </w:p>
    <w:p w14:paraId="27CDFD50" w14:textId="77777777" w:rsidR="002607F0" w:rsidRDefault="002607F0" w:rsidP="008623FD">
      <w:pPr>
        <w:pStyle w:val="Notes"/>
        <w:jc w:val="right"/>
      </w:pPr>
      <w:r>
        <w:t xml:space="preserve">Source : </w:t>
      </w:r>
      <w:r>
        <w:rPr>
          <w:i/>
        </w:rPr>
        <w:t>Histoire de l’Académie royale des Sciences. Année 1699</w:t>
      </w:r>
      <w:r>
        <w:t xml:space="preserve">, Paris, Chez Gabriel Martin, </w:t>
      </w:r>
      <w:r>
        <w:br/>
        <w:t xml:space="preserve">Jean-Baptiste Coignard, H. Louis Guérin, 1732, p. 3-16, </w:t>
      </w:r>
      <w:r>
        <w:br/>
      </w:r>
      <w:r>
        <w:sym w:font="Symbol" w:char="F05B"/>
      </w:r>
      <w:r>
        <w:t>En ligne</w:t>
      </w:r>
      <w:r>
        <w:sym w:font="Symbol" w:char="F05D"/>
      </w:r>
      <w:r>
        <w:t xml:space="preserve">, URL : </w:t>
      </w:r>
      <w:hyperlink r:id="rId13" w:history="1">
        <w:r w:rsidRPr="00575A06">
          <w:rPr>
            <w:rStyle w:val="Lienhypertexte"/>
          </w:rPr>
          <w:t>https://gallica.bnf.fr/ark:/12148/bpt6k35013</w:t>
        </w:r>
      </w:hyperlink>
      <w:r>
        <w:t xml:space="preserve">. </w:t>
      </w:r>
    </w:p>
    <w:p w14:paraId="247BBEDB" w14:textId="77777777" w:rsidR="008623FD" w:rsidRDefault="008623FD" w:rsidP="008623FD">
      <w:pPr>
        <w:pStyle w:val="Sansinterligne"/>
        <w:spacing w:before="120"/>
      </w:pPr>
      <w:r>
        <w:br w:type="page"/>
      </w:r>
    </w:p>
    <w:p w14:paraId="3A559467" w14:textId="77777777" w:rsidR="002607F0" w:rsidRDefault="002607F0" w:rsidP="008623FD">
      <w:pPr>
        <w:pStyle w:val="Sansinterligne"/>
        <w:spacing w:before="120"/>
      </w:pPr>
      <w:r>
        <w:lastRenderedPageBreak/>
        <w:t xml:space="preserve">Bibliographie indicative </w:t>
      </w:r>
    </w:p>
    <w:p w14:paraId="002AF9C8" w14:textId="77777777" w:rsidR="002607F0" w:rsidRPr="00CE012F" w:rsidRDefault="002607F0" w:rsidP="002607F0">
      <w:pPr>
        <w:pStyle w:val="Biblio"/>
        <w:spacing w:before="100" w:after="100"/>
        <w:rPr>
          <w:sz w:val="21"/>
          <w:szCs w:val="21"/>
        </w:rPr>
      </w:pPr>
      <w:proofErr w:type="spellStart"/>
      <w:r w:rsidRPr="00CE012F">
        <w:rPr>
          <w:rFonts w:cs="Times New Roman (Corps CS)"/>
          <w:smallCaps/>
          <w:sz w:val="21"/>
          <w:szCs w:val="21"/>
        </w:rPr>
        <w:t>Bély</w:t>
      </w:r>
      <w:proofErr w:type="spellEnd"/>
      <w:r w:rsidRPr="00CE012F">
        <w:rPr>
          <w:sz w:val="21"/>
          <w:szCs w:val="21"/>
        </w:rPr>
        <w:t xml:space="preserve">, Lucien, </w:t>
      </w:r>
      <w:r w:rsidRPr="00CE012F">
        <w:rPr>
          <w:i/>
          <w:sz w:val="21"/>
          <w:szCs w:val="21"/>
        </w:rPr>
        <w:t>Dictionnaire Louis XIV</w:t>
      </w:r>
      <w:r w:rsidRPr="00CE012F">
        <w:rPr>
          <w:sz w:val="21"/>
          <w:szCs w:val="21"/>
        </w:rPr>
        <w:t>, Paris, Robert Laffont, 2015, p.</w:t>
      </w:r>
      <w:r>
        <w:rPr>
          <w:sz w:val="21"/>
          <w:szCs w:val="21"/>
        </w:rPr>
        <w:t xml:space="preserve"> 40-42. </w:t>
      </w:r>
    </w:p>
    <w:p w14:paraId="0BBD1047" w14:textId="77777777" w:rsidR="002607F0" w:rsidRPr="00CE012F" w:rsidRDefault="002607F0" w:rsidP="002607F0">
      <w:pPr>
        <w:pStyle w:val="Biblio"/>
        <w:spacing w:before="100" w:after="100"/>
        <w:rPr>
          <w:sz w:val="21"/>
          <w:szCs w:val="21"/>
        </w:rPr>
      </w:pPr>
      <w:r w:rsidRPr="00CE012F">
        <w:rPr>
          <w:rFonts w:cs="Times New Roman (Corps CS)"/>
          <w:smallCaps/>
          <w:sz w:val="21"/>
          <w:szCs w:val="21"/>
        </w:rPr>
        <w:t>Blay</w:t>
      </w:r>
      <w:r w:rsidRPr="00CE012F">
        <w:rPr>
          <w:sz w:val="21"/>
          <w:szCs w:val="21"/>
        </w:rPr>
        <w:t xml:space="preserve">, M., </w:t>
      </w:r>
      <w:proofErr w:type="spellStart"/>
      <w:r w:rsidRPr="00CE012F">
        <w:rPr>
          <w:rFonts w:cs="Times New Roman (Corps CS)"/>
          <w:smallCaps/>
          <w:sz w:val="21"/>
          <w:szCs w:val="21"/>
        </w:rPr>
        <w:t>Halleux</w:t>
      </w:r>
      <w:proofErr w:type="spellEnd"/>
      <w:r w:rsidRPr="00CE012F">
        <w:rPr>
          <w:sz w:val="21"/>
          <w:szCs w:val="21"/>
        </w:rPr>
        <w:t xml:space="preserve">, R., </w:t>
      </w:r>
      <w:r w:rsidRPr="00CE012F">
        <w:rPr>
          <w:i/>
          <w:sz w:val="21"/>
          <w:szCs w:val="21"/>
        </w:rPr>
        <w:t>La science classique : XVI</w:t>
      </w:r>
      <w:r w:rsidRPr="00DF4B26">
        <w:rPr>
          <w:i/>
          <w:sz w:val="21"/>
          <w:szCs w:val="21"/>
          <w:vertAlign w:val="superscript"/>
        </w:rPr>
        <w:t>e</w:t>
      </w:r>
      <w:r w:rsidRPr="00CE012F">
        <w:rPr>
          <w:i/>
          <w:sz w:val="21"/>
          <w:szCs w:val="21"/>
        </w:rPr>
        <w:t xml:space="preserve"> – XVIII</w:t>
      </w:r>
      <w:r w:rsidRPr="00DF4B26">
        <w:rPr>
          <w:i/>
          <w:sz w:val="21"/>
          <w:szCs w:val="21"/>
          <w:vertAlign w:val="superscript"/>
        </w:rPr>
        <w:t>e</w:t>
      </w:r>
      <w:r w:rsidRPr="00CE012F">
        <w:rPr>
          <w:i/>
          <w:sz w:val="21"/>
          <w:szCs w:val="21"/>
        </w:rPr>
        <w:t xml:space="preserve"> siècle. Dictionnaire critique</w:t>
      </w:r>
      <w:r w:rsidRPr="00CE012F">
        <w:rPr>
          <w:sz w:val="21"/>
          <w:szCs w:val="21"/>
        </w:rPr>
        <w:t xml:space="preserve">, Paris, Flammarion, 1998. </w:t>
      </w:r>
    </w:p>
    <w:p w14:paraId="6F26241F" w14:textId="77777777" w:rsidR="002607F0" w:rsidRPr="00CE012F" w:rsidRDefault="002607F0" w:rsidP="002607F0">
      <w:pPr>
        <w:pStyle w:val="Biblio"/>
        <w:spacing w:before="100" w:after="100"/>
        <w:rPr>
          <w:sz w:val="21"/>
          <w:szCs w:val="21"/>
        </w:rPr>
      </w:pPr>
      <w:proofErr w:type="spellStart"/>
      <w:r w:rsidRPr="00CE012F">
        <w:rPr>
          <w:rFonts w:cs="Times New Roman (Corps CS)"/>
          <w:smallCaps/>
          <w:sz w:val="21"/>
          <w:szCs w:val="21"/>
        </w:rPr>
        <w:t>Tits-Dieuaide</w:t>
      </w:r>
      <w:proofErr w:type="spellEnd"/>
      <w:r w:rsidRPr="00CE012F">
        <w:rPr>
          <w:sz w:val="21"/>
          <w:szCs w:val="21"/>
        </w:rPr>
        <w:t xml:space="preserve">, Marie-Jeanne, « Les savants, la société et l’État : à propos du renouvellement de l’Académie royale des sciences (1699) », </w:t>
      </w:r>
      <w:r w:rsidRPr="00CE012F">
        <w:rPr>
          <w:i/>
          <w:sz w:val="21"/>
          <w:szCs w:val="21"/>
        </w:rPr>
        <w:t>Journal des savants</w:t>
      </w:r>
      <w:r w:rsidRPr="00CE012F">
        <w:rPr>
          <w:sz w:val="21"/>
          <w:szCs w:val="21"/>
        </w:rPr>
        <w:t>, 1998/1, p. 79-114</w:t>
      </w:r>
      <w:r w:rsidR="00DF4B26">
        <w:rPr>
          <w:sz w:val="21"/>
          <w:szCs w:val="21"/>
        </w:rPr>
        <w:t xml:space="preserve"> (disponible sur Persée)</w:t>
      </w:r>
      <w:r w:rsidRPr="00CE012F">
        <w:rPr>
          <w:sz w:val="21"/>
          <w:szCs w:val="21"/>
        </w:rPr>
        <w:t xml:space="preserve">. </w:t>
      </w:r>
    </w:p>
    <w:p w14:paraId="2544A78C" w14:textId="77777777" w:rsidR="002607F0" w:rsidRDefault="002607F0" w:rsidP="002607F0">
      <w:pPr>
        <w:pStyle w:val="Biblio"/>
        <w:spacing w:before="100" w:after="100"/>
        <w:rPr>
          <w:sz w:val="21"/>
          <w:szCs w:val="21"/>
        </w:rPr>
      </w:pPr>
      <w:r w:rsidRPr="00CE012F">
        <w:rPr>
          <w:sz w:val="21"/>
          <w:szCs w:val="21"/>
        </w:rPr>
        <w:t xml:space="preserve">« Académie royale des Sciences », dans L. </w:t>
      </w:r>
      <w:proofErr w:type="spellStart"/>
      <w:r w:rsidRPr="00CE012F">
        <w:rPr>
          <w:rFonts w:cs="Times New Roman (Corps CS)"/>
          <w:smallCaps/>
          <w:sz w:val="21"/>
          <w:szCs w:val="21"/>
        </w:rPr>
        <w:t>Bély</w:t>
      </w:r>
      <w:proofErr w:type="spellEnd"/>
      <w:r w:rsidRPr="00CE012F">
        <w:rPr>
          <w:sz w:val="21"/>
          <w:szCs w:val="21"/>
        </w:rPr>
        <w:t xml:space="preserve">, </w:t>
      </w:r>
      <w:r w:rsidRPr="00CE012F">
        <w:rPr>
          <w:i/>
          <w:sz w:val="21"/>
          <w:szCs w:val="21"/>
        </w:rPr>
        <w:t>Dictionnaire de l’Ancien Régime</w:t>
      </w:r>
      <w:r w:rsidRPr="00CE012F">
        <w:rPr>
          <w:sz w:val="21"/>
          <w:szCs w:val="21"/>
        </w:rPr>
        <w:t xml:space="preserve">, Paris, PUF, 1998, p. 15-18. </w:t>
      </w:r>
    </w:p>
    <w:p w14:paraId="55DC7EF3" w14:textId="77777777" w:rsidR="00FA4D77" w:rsidRPr="00CC5D78" w:rsidRDefault="002607F0" w:rsidP="00CC5D78">
      <w:pPr>
        <w:pStyle w:val="Biblio"/>
        <w:spacing w:before="100" w:after="100"/>
        <w:rPr>
          <w:sz w:val="21"/>
          <w:szCs w:val="21"/>
        </w:rPr>
      </w:pPr>
      <w:proofErr w:type="spellStart"/>
      <w:r w:rsidRPr="00AC17C5">
        <w:rPr>
          <w:smallCaps/>
          <w:sz w:val="21"/>
          <w:szCs w:val="21"/>
        </w:rPr>
        <w:t>Bluche</w:t>
      </w:r>
      <w:proofErr w:type="spellEnd"/>
      <w:r>
        <w:rPr>
          <w:sz w:val="21"/>
          <w:szCs w:val="21"/>
        </w:rPr>
        <w:t xml:space="preserve">, François (dir.), </w:t>
      </w:r>
      <w:r>
        <w:rPr>
          <w:i/>
          <w:sz w:val="21"/>
          <w:szCs w:val="21"/>
        </w:rPr>
        <w:t>Dictionnaire du Grand Siècle</w:t>
      </w:r>
      <w:r>
        <w:rPr>
          <w:sz w:val="21"/>
          <w:szCs w:val="21"/>
        </w:rPr>
        <w:t xml:space="preserve">, Paris, Fayard, 1990, p. 15-18. </w:t>
      </w:r>
    </w:p>
    <w:p w14:paraId="06FF08FF" w14:textId="77777777" w:rsidR="00FA4D77" w:rsidRDefault="00FA4D77" w:rsidP="00FA4D77">
      <w:pPr>
        <w:pStyle w:val="Sansinterligne"/>
      </w:pPr>
      <w:r>
        <w:t>Annexes</w:t>
      </w:r>
    </w:p>
    <w:p w14:paraId="0108D484" w14:textId="77777777" w:rsidR="0072417B" w:rsidRPr="0072417B" w:rsidRDefault="00FA4D77" w:rsidP="0072417B">
      <w:pPr>
        <w:pStyle w:val="Sansinterligne"/>
      </w:pPr>
      <w:r>
        <w:t xml:space="preserve">1. </w:t>
      </w:r>
      <w:r w:rsidR="00EF181A">
        <w:t xml:space="preserve">L’académie </w:t>
      </w:r>
      <w:r w:rsidR="00D17979">
        <w:t xml:space="preserve">royale </w:t>
      </w:r>
      <w:r w:rsidR="00EF181A">
        <w:t xml:space="preserve">des sciences et Louis XIV (1666-1699) </w:t>
      </w:r>
    </w:p>
    <w:p w14:paraId="4ACD7011" w14:textId="77777777" w:rsidR="000D7ACA" w:rsidRDefault="0072417B" w:rsidP="0072417B">
      <w:pPr>
        <w:rPr>
          <w:sz w:val="23"/>
          <w:szCs w:val="23"/>
        </w:rPr>
      </w:pPr>
      <w:r w:rsidRPr="000D7ACA">
        <w:rPr>
          <w:sz w:val="23"/>
          <w:szCs w:val="23"/>
        </w:rPr>
        <w:t xml:space="preserve">Colbert se charge de repérer ces savants, de les réunir et d’organiser leurs investigations. La France dispose du modèle de la </w:t>
      </w:r>
      <w:r w:rsidRPr="000D7ACA">
        <w:rPr>
          <w:i/>
          <w:sz w:val="23"/>
          <w:szCs w:val="23"/>
        </w:rPr>
        <w:t xml:space="preserve">Royal Society </w:t>
      </w:r>
      <w:r w:rsidRPr="000D7ACA">
        <w:rPr>
          <w:sz w:val="23"/>
          <w:szCs w:val="23"/>
        </w:rPr>
        <w:t>anglaise établie à Londres en 1660. Colbert, au nom du roi, crée donc en 1666 l’Académie des sciences et il en choisit les premiers membres. Il s’agit de les faire travailler ensemble pour le roi, donc pour l’État, et par là pour le pays tout entier.</w:t>
      </w:r>
      <w:r w:rsidR="000D7ACA">
        <w:rPr>
          <w:sz w:val="23"/>
          <w:szCs w:val="23"/>
        </w:rPr>
        <w:t xml:space="preserve"> La première séance a lieu le 22 décembre 1666. Il n’y a pas encore de véritable statut officiel. Le texte qui ébauche les premières règles prévoit simplement deux réunions par semaine, le mercredi (pour les mathématiques) et le samedi (pour la physique). Les académiciens se retrouverons ces deux jours-là, ce qui suppose une certaine interdisciplinarité. Tous les domaines méritent attention mais, en chimie, il est interdit de chercher à percer les secrets de la pierre philosophale et, pour l’astronomie, il ne faut pas aborder l’art de deviner et de prédire. La théologie n’entre pas dans les sujets étudiés car elle a toute sa place dans les universités.</w:t>
      </w:r>
      <w:r w:rsidRPr="000D7ACA">
        <w:rPr>
          <w:sz w:val="23"/>
          <w:szCs w:val="23"/>
        </w:rPr>
        <w:t xml:space="preserve"> </w:t>
      </w:r>
    </w:p>
    <w:p w14:paraId="46512B25" w14:textId="77777777" w:rsidR="0072417B" w:rsidRPr="000D7ACA" w:rsidRDefault="0072417B" w:rsidP="0072417B">
      <w:pPr>
        <w:rPr>
          <w:sz w:val="23"/>
          <w:szCs w:val="23"/>
        </w:rPr>
      </w:pPr>
      <w:r w:rsidRPr="000D7ACA">
        <w:rPr>
          <w:rFonts w:cs="Times New Roman"/>
          <w:sz w:val="23"/>
          <w:szCs w:val="23"/>
        </w:rPr>
        <w:t>[…]</w:t>
      </w:r>
      <w:r w:rsidRPr="000D7ACA">
        <w:rPr>
          <w:sz w:val="23"/>
          <w:szCs w:val="23"/>
        </w:rPr>
        <w:t xml:space="preserve"> Colbert oriente les travaux. Il demande par exemple de faire la description exacte de toutes les machines qui sont utilisées par tous les arts et métiers en France et en Europe. Il faut en tirer un traité de mécanique utile et facilement compréhensible. Colbert lance des voyages d’étude et fait travailler des ingénieurs sous le contrôle des savants. Après la mort de Colbert, l’institution s’endort. C’est Pontchartrain qui la réveille en en confiant la direction à son neveu, l’abbé Jean-Paul Bignon. Fontenelle, qui a su vulgariser la science dans ses </w:t>
      </w:r>
      <w:r w:rsidRPr="000D7ACA">
        <w:rPr>
          <w:i/>
          <w:sz w:val="23"/>
          <w:szCs w:val="23"/>
        </w:rPr>
        <w:t>Entretiens sur la pluralité des mondes</w:t>
      </w:r>
      <w:r w:rsidRPr="000D7ACA">
        <w:rPr>
          <w:sz w:val="23"/>
          <w:szCs w:val="23"/>
        </w:rPr>
        <w:t xml:space="preserve">, en devient secrétaire. Elle obtient son premier règlement en 1699. </w:t>
      </w:r>
    </w:p>
    <w:p w14:paraId="32F1101F" w14:textId="77777777" w:rsidR="0072417B" w:rsidRPr="003E1EB6" w:rsidRDefault="0072417B" w:rsidP="0072417B">
      <w:pPr>
        <w:jc w:val="right"/>
        <w:rPr>
          <w:sz w:val="20"/>
        </w:rPr>
      </w:pPr>
      <w:r w:rsidRPr="003E1EB6">
        <w:rPr>
          <w:sz w:val="20"/>
        </w:rPr>
        <w:t xml:space="preserve">L. </w:t>
      </w:r>
      <w:proofErr w:type="spellStart"/>
      <w:r w:rsidRPr="003E1EB6">
        <w:rPr>
          <w:smallCaps/>
          <w:sz w:val="20"/>
        </w:rPr>
        <w:t>Bély</w:t>
      </w:r>
      <w:proofErr w:type="spellEnd"/>
      <w:r w:rsidRPr="003E1EB6">
        <w:rPr>
          <w:sz w:val="20"/>
        </w:rPr>
        <w:t xml:space="preserve">, « Académie des sciences, observatoire et jardin du roi », </w:t>
      </w:r>
      <w:r w:rsidRPr="003E1EB6">
        <w:rPr>
          <w:sz w:val="20"/>
        </w:rPr>
        <w:br/>
        <w:t xml:space="preserve">dans Id. (dir.), </w:t>
      </w:r>
      <w:r w:rsidRPr="003E1EB6">
        <w:rPr>
          <w:i/>
          <w:sz w:val="20"/>
        </w:rPr>
        <w:t>Dictionnaire Louis XIV</w:t>
      </w:r>
      <w:r w:rsidRPr="003E1EB6">
        <w:rPr>
          <w:sz w:val="20"/>
        </w:rPr>
        <w:t xml:space="preserve">, Paris, Robert Laffont, 2015, p. 41. </w:t>
      </w:r>
    </w:p>
    <w:p w14:paraId="65043B65" w14:textId="77777777" w:rsidR="00FA4D77" w:rsidRDefault="00FA4D77" w:rsidP="00FA4D77">
      <w:pPr>
        <w:pStyle w:val="Sansinterligne"/>
      </w:pPr>
      <w:r>
        <w:t xml:space="preserve">2. </w:t>
      </w:r>
      <w:r w:rsidR="00397664">
        <w:t xml:space="preserve">L’État et le contrôle de la production des savoirs </w:t>
      </w:r>
      <w:r w:rsidR="00627EC1">
        <w:t>en Europe (fin XVII</w:t>
      </w:r>
      <w:r w:rsidR="00627EC1" w:rsidRPr="0049090F">
        <w:rPr>
          <w:vertAlign w:val="superscript"/>
        </w:rPr>
        <w:t>e</w:t>
      </w:r>
      <w:r w:rsidR="00627EC1">
        <w:t xml:space="preserve"> siècle)</w:t>
      </w:r>
      <w:r w:rsidR="00397664">
        <w:t xml:space="preserve"> </w:t>
      </w:r>
    </w:p>
    <w:p w14:paraId="6E676C21" w14:textId="77777777" w:rsidR="00627EC1" w:rsidRPr="000D7ACA" w:rsidRDefault="00627EC1" w:rsidP="00627EC1">
      <w:pPr>
        <w:rPr>
          <w:sz w:val="23"/>
          <w:szCs w:val="23"/>
        </w:rPr>
      </w:pPr>
      <w:r w:rsidRPr="000D7ACA">
        <w:rPr>
          <w:sz w:val="23"/>
          <w:szCs w:val="23"/>
        </w:rPr>
        <w:t xml:space="preserve">Dans l’Europe qui se remet de la guerre de Trente Ans, les souverains répondent positivement à la demande de patronage qu’avancent les « curieux » de la nature, coagulés par l’intérêt pour les nouvelles idées dans des cercles académiques intermittents. La science intègre ainsi une politique de prestige qui change désormais d’échelle. À Londres, la </w:t>
      </w:r>
      <w:r w:rsidRPr="000D7ACA">
        <w:rPr>
          <w:i/>
          <w:sz w:val="23"/>
          <w:szCs w:val="23"/>
        </w:rPr>
        <w:t xml:space="preserve">Society for the </w:t>
      </w:r>
      <w:proofErr w:type="spellStart"/>
      <w:r w:rsidRPr="000D7ACA">
        <w:rPr>
          <w:i/>
          <w:sz w:val="23"/>
          <w:szCs w:val="23"/>
        </w:rPr>
        <w:t>Improvement</w:t>
      </w:r>
      <w:proofErr w:type="spellEnd"/>
      <w:r w:rsidRPr="000D7ACA">
        <w:rPr>
          <w:i/>
          <w:sz w:val="23"/>
          <w:szCs w:val="23"/>
        </w:rPr>
        <w:t xml:space="preserve"> of the Natural </w:t>
      </w:r>
      <w:proofErr w:type="spellStart"/>
      <w:r w:rsidRPr="000D7ACA">
        <w:rPr>
          <w:i/>
          <w:sz w:val="23"/>
          <w:szCs w:val="23"/>
        </w:rPr>
        <w:t>Knowledge</w:t>
      </w:r>
      <w:proofErr w:type="spellEnd"/>
      <w:r w:rsidRPr="000D7ACA">
        <w:rPr>
          <w:sz w:val="23"/>
          <w:szCs w:val="23"/>
        </w:rPr>
        <w:t xml:space="preserve"> est formalisée par les gentlemen naturalistes déjà actifs à l’époque républicaine comme Boyle, </w:t>
      </w:r>
      <w:proofErr w:type="spellStart"/>
      <w:r w:rsidRPr="000D7ACA">
        <w:rPr>
          <w:sz w:val="23"/>
          <w:szCs w:val="23"/>
        </w:rPr>
        <w:t>Croone</w:t>
      </w:r>
      <w:proofErr w:type="spellEnd"/>
      <w:r w:rsidRPr="000D7ACA">
        <w:rPr>
          <w:sz w:val="23"/>
          <w:szCs w:val="23"/>
        </w:rPr>
        <w:t xml:space="preserve">, Wren, </w:t>
      </w:r>
      <w:proofErr w:type="spellStart"/>
      <w:r w:rsidRPr="000D7ACA">
        <w:rPr>
          <w:sz w:val="23"/>
          <w:szCs w:val="23"/>
        </w:rPr>
        <w:t>Rooke</w:t>
      </w:r>
      <w:proofErr w:type="spellEnd"/>
      <w:r w:rsidRPr="000D7ACA">
        <w:rPr>
          <w:sz w:val="23"/>
          <w:szCs w:val="23"/>
        </w:rPr>
        <w:t xml:space="preserve">, Petty, Goddard, Wilkins, l’astronome royal </w:t>
      </w:r>
      <w:proofErr w:type="spellStart"/>
      <w:r w:rsidRPr="000D7ACA">
        <w:rPr>
          <w:sz w:val="23"/>
          <w:szCs w:val="23"/>
        </w:rPr>
        <w:t>Neile</w:t>
      </w:r>
      <w:proofErr w:type="spellEnd"/>
      <w:r w:rsidRPr="000D7ACA">
        <w:rPr>
          <w:sz w:val="23"/>
          <w:szCs w:val="23"/>
        </w:rPr>
        <w:t xml:space="preserve">, en 1660, quand les Stuarts restaurés rentrent à Londres, et elle reçoit une charte royale en 16621. À Paris, où plusieurs académies domestiques existaient depuis les années 1630, la création de l’Académie des sciences en 1666 suit de près le règne personnel de Louis XIV et le ministère de Colbert et réunit des savants comme </w:t>
      </w:r>
      <w:proofErr w:type="spellStart"/>
      <w:r w:rsidRPr="000D7ACA">
        <w:rPr>
          <w:sz w:val="23"/>
          <w:szCs w:val="23"/>
        </w:rPr>
        <w:t>Carcavi</w:t>
      </w:r>
      <w:proofErr w:type="spellEnd"/>
      <w:r w:rsidRPr="000D7ACA">
        <w:rPr>
          <w:sz w:val="23"/>
          <w:szCs w:val="23"/>
        </w:rPr>
        <w:t xml:space="preserve">, Roberval, Huygens, Auzout, Pecquet, Mariotte, Perrault, </w:t>
      </w:r>
      <w:proofErr w:type="spellStart"/>
      <w:r w:rsidRPr="000D7ACA">
        <w:rPr>
          <w:sz w:val="23"/>
          <w:szCs w:val="23"/>
        </w:rPr>
        <w:t>Bourdelin</w:t>
      </w:r>
      <w:proofErr w:type="spellEnd"/>
      <w:r w:rsidRPr="000D7ACA">
        <w:rPr>
          <w:sz w:val="23"/>
          <w:szCs w:val="23"/>
        </w:rPr>
        <w:t xml:space="preserve">. À Berlin, après de nombreux projets, la </w:t>
      </w:r>
      <w:r w:rsidRPr="000D7ACA">
        <w:rPr>
          <w:i/>
          <w:sz w:val="23"/>
          <w:szCs w:val="23"/>
        </w:rPr>
        <w:t xml:space="preserve">Societas </w:t>
      </w:r>
      <w:proofErr w:type="spellStart"/>
      <w:r w:rsidRPr="000D7ACA">
        <w:rPr>
          <w:i/>
          <w:sz w:val="23"/>
          <w:szCs w:val="23"/>
        </w:rPr>
        <w:t>Scientiarum</w:t>
      </w:r>
      <w:proofErr w:type="spellEnd"/>
      <w:r w:rsidRPr="000D7ACA">
        <w:rPr>
          <w:sz w:val="23"/>
          <w:szCs w:val="23"/>
        </w:rPr>
        <w:t xml:space="preserve"> imaginée par Leibniz est établie en 1700 et devient société royale tout de suite après la transformation de la Prusse en royaume. On peut ajouter à cette liste le titre impérial </w:t>
      </w:r>
      <w:r w:rsidRPr="000D7ACA">
        <w:rPr>
          <w:sz w:val="23"/>
          <w:szCs w:val="23"/>
        </w:rPr>
        <w:lastRenderedPageBreak/>
        <w:t>accordé en 1677 à l’</w:t>
      </w:r>
      <w:r w:rsidRPr="000D7ACA">
        <w:rPr>
          <w:i/>
          <w:sz w:val="23"/>
          <w:szCs w:val="23"/>
        </w:rPr>
        <w:t xml:space="preserve">Academia </w:t>
      </w:r>
      <w:proofErr w:type="spellStart"/>
      <w:r w:rsidRPr="000D7ACA">
        <w:rPr>
          <w:i/>
          <w:sz w:val="23"/>
          <w:szCs w:val="23"/>
        </w:rPr>
        <w:t>Naturae</w:t>
      </w:r>
      <w:proofErr w:type="spellEnd"/>
      <w:r w:rsidRPr="000D7ACA">
        <w:rPr>
          <w:i/>
          <w:sz w:val="23"/>
          <w:szCs w:val="23"/>
        </w:rPr>
        <w:t xml:space="preserve"> </w:t>
      </w:r>
      <w:proofErr w:type="spellStart"/>
      <w:r w:rsidRPr="000D7ACA">
        <w:rPr>
          <w:i/>
          <w:sz w:val="23"/>
          <w:szCs w:val="23"/>
        </w:rPr>
        <w:t>Curiosorum</w:t>
      </w:r>
      <w:proofErr w:type="spellEnd"/>
      <w:r w:rsidRPr="000D7ACA">
        <w:rPr>
          <w:i/>
          <w:sz w:val="23"/>
          <w:szCs w:val="23"/>
        </w:rPr>
        <w:t xml:space="preserve">, </w:t>
      </w:r>
      <w:r w:rsidRPr="000D7ACA">
        <w:rPr>
          <w:sz w:val="23"/>
          <w:szCs w:val="23"/>
        </w:rPr>
        <w:t xml:space="preserve">qui associe des médecins et naturalistes dans les territoires de l’Empire. </w:t>
      </w:r>
      <w:r w:rsidRPr="000D7ACA">
        <w:rPr>
          <w:rFonts w:cs="Times New Roman"/>
          <w:sz w:val="23"/>
          <w:szCs w:val="23"/>
        </w:rPr>
        <w:t>[…]</w:t>
      </w:r>
    </w:p>
    <w:p w14:paraId="10AC110C" w14:textId="77777777" w:rsidR="00627EC1" w:rsidRPr="000D7ACA" w:rsidRDefault="00627EC1" w:rsidP="00627EC1">
      <w:pPr>
        <w:rPr>
          <w:sz w:val="23"/>
          <w:szCs w:val="23"/>
        </w:rPr>
      </w:pPr>
      <w:r w:rsidRPr="000D7ACA">
        <w:rPr>
          <w:sz w:val="23"/>
          <w:szCs w:val="23"/>
        </w:rPr>
        <w:t xml:space="preserve">Ces institutions royales se ressemblent beaucoup. L’impulsion vient d’hommes de sciences actifs à la cour ou dans l’enseignement, notamment dans les institutions de la Renaissance comme le Collège royal à Paris et le </w:t>
      </w:r>
      <w:r w:rsidRPr="000D7ACA">
        <w:rPr>
          <w:i/>
          <w:sz w:val="23"/>
          <w:szCs w:val="23"/>
        </w:rPr>
        <w:t xml:space="preserve">Gresham </w:t>
      </w:r>
      <w:proofErr w:type="spellStart"/>
      <w:r w:rsidRPr="000D7ACA">
        <w:rPr>
          <w:i/>
          <w:sz w:val="23"/>
          <w:szCs w:val="23"/>
        </w:rPr>
        <w:t>College</w:t>
      </w:r>
      <w:proofErr w:type="spellEnd"/>
      <w:r w:rsidRPr="000D7ACA">
        <w:rPr>
          <w:sz w:val="23"/>
          <w:szCs w:val="23"/>
        </w:rPr>
        <w:t xml:space="preserve"> où les sciences naturelles n’ont pas le statut d’infériorité des </w:t>
      </w:r>
      <w:proofErr w:type="spellStart"/>
      <w:r w:rsidRPr="000D7ACA">
        <w:rPr>
          <w:i/>
          <w:sz w:val="23"/>
          <w:szCs w:val="23"/>
        </w:rPr>
        <w:t>artes</w:t>
      </w:r>
      <w:proofErr w:type="spellEnd"/>
      <w:r w:rsidRPr="000D7ACA">
        <w:rPr>
          <w:sz w:val="23"/>
          <w:szCs w:val="23"/>
        </w:rPr>
        <w:t xml:space="preserve"> du curriculum universitaire ; </w:t>
      </w:r>
      <w:r w:rsidRPr="000D7ACA">
        <w:rPr>
          <w:rFonts w:cs="Times New Roman"/>
          <w:sz w:val="23"/>
          <w:szCs w:val="23"/>
        </w:rPr>
        <w:t>[…]</w:t>
      </w:r>
      <w:r w:rsidRPr="000D7ACA">
        <w:rPr>
          <w:sz w:val="23"/>
          <w:szCs w:val="23"/>
        </w:rPr>
        <w:t>. Ces milieux ont des relations étroites avec la cour et les offices, qu’ils mobilisent pour obtenir une reconnaissance formelle et une position de privilège. Ils peuvent compter sur la méfiance des monarchies sorties de leur crise politique du XVII</w:t>
      </w:r>
      <w:r w:rsidRPr="000D7ACA">
        <w:rPr>
          <w:sz w:val="23"/>
          <w:szCs w:val="23"/>
          <w:vertAlign w:val="superscript"/>
        </w:rPr>
        <w:t>e</w:t>
      </w:r>
      <w:r w:rsidRPr="000D7ACA">
        <w:rPr>
          <w:sz w:val="23"/>
          <w:szCs w:val="23"/>
        </w:rPr>
        <w:t xml:space="preserve"> siècle envers certains corps puissants et la volonté de les contrebalancer par d’autres dépendant d’elles, et sur l’investissement politique et symbolique dont bénéficient les villes capitales. Reconnues par l’autorité suprême du souverain, elles ont le statut juridique d’un corps « étatique », non localisé. Elles ont des subventions directes ou indirectes, qui permettent d’offrir des jetons, voire une pension aux académiciens. La </w:t>
      </w:r>
      <w:r w:rsidRPr="000D7ACA">
        <w:rPr>
          <w:i/>
          <w:sz w:val="23"/>
          <w:szCs w:val="23"/>
        </w:rPr>
        <w:t>Royal Society</w:t>
      </w:r>
      <w:r w:rsidRPr="000D7ACA">
        <w:rPr>
          <w:sz w:val="23"/>
          <w:szCs w:val="23"/>
        </w:rPr>
        <w:t xml:space="preserve"> ne dispose pas de financements réguliers, malgré les efforts déployés pour en obtenir, mais elle bénéficie de dons et privilèges. La proximité de la cour lui procure des tâches officielles « à la demande du gouvernement » (notamment l’évaluation des inventions), mais ne la met pas à l’abri de crises qui rendent nécessaires des relances périodiques. L’organisation interne est aussi similaire, avec des officiers pour les affaires courantes et des comités </w:t>
      </w:r>
      <w:r w:rsidRPr="000D7ACA">
        <w:rPr>
          <w:i/>
          <w:sz w:val="23"/>
          <w:szCs w:val="23"/>
        </w:rPr>
        <w:t>ad hoc</w:t>
      </w:r>
      <w:r w:rsidRPr="000D7ACA">
        <w:rPr>
          <w:sz w:val="23"/>
          <w:szCs w:val="23"/>
        </w:rPr>
        <w:t>. Une différence est que la société londonienne accepte un nombre indéfini de membres, après une tentative initiale de le fixer.</w:t>
      </w:r>
    </w:p>
    <w:p w14:paraId="3416B1EE" w14:textId="77777777" w:rsidR="00627EC1" w:rsidRDefault="00627EC1" w:rsidP="00627EC1">
      <w:r w:rsidRPr="000D7ACA">
        <w:rPr>
          <w:sz w:val="23"/>
          <w:szCs w:val="23"/>
        </w:rPr>
        <w:t>Les similitudes se renforcent dans le temps par un processus d’imitation. Ainsi, sous la présidence de Newton (1703-1727), le conseil de la Royal Society assume des prérogatives croissantes, tandis qu’à Paris la réforme de 1699, qui par ailleurs renforce le caractère corporatif de l’Académie et en accroît les prérogatives, introduit une classe d’associés provinciaux et étrangers pour élargir son rayonnement en concurrence avec la politique d’affiliation généreuse de Londres. Les académies, en fait, spécialement celles sous patronage royal, vivent une tension permanente entre la compétition et la coopération de la république des lettres</w:t>
      </w:r>
      <w:r>
        <w:t>.</w:t>
      </w:r>
    </w:p>
    <w:p w14:paraId="65B4D69E" w14:textId="77777777" w:rsidR="00627EC1" w:rsidRPr="00627EC1" w:rsidRDefault="00627EC1" w:rsidP="009A0CFE">
      <w:pPr>
        <w:spacing w:before="240"/>
        <w:jc w:val="right"/>
        <w:rPr>
          <w:sz w:val="20"/>
          <w:szCs w:val="20"/>
        </w:rPr>
      </w:pPr>
      <w:r w:rsidRPr="00627EC1">
        <w:rPr>
          <w:sz w:val="20"/>
          <w:szCs w:val="20"/>
        </w:rPr>
        <w:t>Maria Pia</w:t>
      </w:r>
      <w:r w:rsidRPr="00627EC1">
        <w:rPr>
          <w:smallCaps/>
          <w:sz w:val="20"/>
          <w:szCs w:val="20"/>
        </w:rPr>
        <w:t xml:space="preserve"> Donato</w:t>
      </w:r>
      <w:r w:rsidRPr="00627EC1">
        <w:rPr>
          <w:sz w:val="20"/>
          <w:szCs w:val="20"/>
        </w:rPr>
        <w:t>, « ‘Faire corps’ : les acad</w:t>
      </w:r>
      <w:r>
        <w:rPr>
          <w:sz w:val="20"/>
          <w:szCs w:val="20"/>
        </w:rPr>
        <w:t>é</w:t>
      </w:r>
      <w:r w:rsidRPr="00627EC1">
        <w:rPr>
          <w:sz w:val="20"/>
          <w:szCs w:val="20"/>
        </w:rPr>
        <w:t xml:space="preserve">mies dans l’ancien régime des sciences », </w:t>
      </w:r>
      <w:r>
        <w:rPr>
          <w:sz w:val="20"/>
          <w:szCs w:val="20"/>
        </w:rPr>
        <w:br/>
      </w:r>
      <w:r w:rsidRPr="00627EC1">
        <w:rPr>
          <w:sz w:val="20"/>
          <w:szCs w:val="20"/>
        </w:rPr>
        <w:t xml:space="preserve">dans Stéphane </w:t>
      </w:r>
      <w:r w:rsidRPr="00E000EE">
        <w:rPr>
          <w:smallCaps/>
          <w:sz w:val="20"/>
          <w:szCs w:val="20"/>
        </w:rPr>
        <w:t>Van Damme</w:t>
      </w:r>
      <w:r w:rsidRPr="00627EC1">
        <w:rPr>
          <w:sz w:val="20"/>
          <w:szCs w:val="20"/>
        </w:rPr>
        <w:t xml:space="preserve"> (dir.), </w:t>
      </w:r>
      <w:r w:rsidRPr="00627EC1">
        <w:rPr>
          <w:i/>
          <w:sz w:val="20"/>
          <w:szCs w:val="20"/>
        </w:rPr>
        <w:t xml:space="preserve">Histoire des sciences et des savoirs. </w:t>
      </w:r>
      <w:r>
        <w:rPr>
          <w:i/>
          <w:sz w:val="20"/>
          <w:szCs w:val="20"/>
        </w:rPr>
        <w:br/>
      </w:r>
      <w:r w:rsidRPr="00627EC1">
        <w:rPr>
          <w:i/>
          <w:sz w:val="20"/>
          <w:szCs w:val="20"/>
        </w:rPr>
        <w:t>1. De la Renaissance aux Lumières</w:t>
      </w:r>
      <w:r w:rsidRPr="00627EC1">
        <w:rPr>
          <w:sz w:val="20"/>
          <w:szCs w:val="20"/>
        </w:rPr>
        <w:t>, Paris, Seuil, 2015, p. 90-91.</w:t>
      </w:r>
    </w:p>
    <w:p w14:paraId="659A5F76" w14:textId="77777777" w:rsidR="00753EBC" w:rsidRPr="00627EC1" w:rsidRDefault="00753EBC" w:rsidP="00753EBC">
      <w:pPr>
        <w:pStyle w:val="Notes"/>
        <w:spacing w:before="80"/>
        <w:rPr>
          <w:rFonts w:cs="Times New Roman"/>
          <w:b/>
          <w:sz w:val="22"/>
          <w:szCs w:val="22"/>
        </w:rPr>
      </w:pPr>
    </w:p>
    <w:p w14:paraId="6E4D1991" w14:textId="77777777" w:rsidR="00753EBC" w:rsidRPr="00627EC1" w:rsidRDefault="00753EBC" w:rsidP="0093571F">
      <w:pPr>
        <w:pStyle w:val="Titre"/>
        <w:spacing w:after="180"/>
        <w:rPr>
          <w:rFonts w:cs="Times New Roman"/>
        </w:rPr>
        <w:sectPr w:rsidR="00753EBC" w:rsidRPr="00627EC1" w:rsidSect="00D3596E">
          <w:pgSz w:w="11905" w:h="16837"/>
          <w:pgMar w:top="843" w:right="1417" w:bottom="1152" w:left="1417" w:header="708" w:footer="708" w:gutter="0"/>
          <w:cols w:space="708"/>
          <w:docGrid w:linePitch="360"/>
        </w:sectPr>
      </w:pPr>
    </w:p>
    <w:p w14:paraId="1EDAB881" w14:textId="77777777" w:rsidR="003A1412" w:rsidRPr="00607133" w:rsidRDefault="003A1412" w:rsidP="0093571F">
      <w:pPr>
        <w:pStyle w:val="Titre"/>
        <w:spacing w:after="180"/>
        <w:rPr>
          <w:rFonts w:cs="Times New Roman"/>
        </w:rPr>
      </w:pPr>
      <w:r w:rsidRPr="00607133">
        <w:rPr>
          <w:rFonts w:cs="Times New Roman"/>
        </w:rPr>
        <w:lastRenderedPageBreak/>
        <w:t xml:space="preserve">Séance </w:t>
      </w:r>
      <w:r w:rsidR="00C17A97" w:rsidRPr="00607133">
        <w:rPr>
          <w:rFonts w:cs="Times New Roman"/>
        </w:rPr>
        <w:t>1</w:t>
      </w:r>
      <w:r w:rsidR="00444111">
        <w:rPr>
          <w:rFonts w:cs="Times New Roman"/>
        </w:rPr>
        <w:t>0</w:t>
      </w:r>
      <w:r w:rsidR="00DF16A4" w:rsidRPr="00607133">
        <w:rPr>
          <w:rFonts w:cs="Times New Roman"/>
        </w:rPr>
        <w:t>. Les conséquences de la guerre sur le royaume (</w:t>
      </w:r>
      <w:r w:rsidR="00462C27" w:rsidRPr="00607133">
        <w:rPr>
          <w:rFonts w:cs="Times New Roman"/>
        </w:rPr>
        <w:t>1694</w:t>
      </w:r>
      <w:r w:rsidR="00C17A97" w:rsidRPr="00607133">
        <w:rPr>
          <w:rFonts w:cs="Times New Roman"/>
        </w:rPr>
        <w:t>-1695</w:t>
      </w:r>
      <w:r w:rsidR="00DF16A4" w:rsidRPr="00607133">
        <w:rPr>
          <w:rFonts w:cs="Times New Roman"/>
        </w:rPr>
        <w:t xml:space="preserve">) </w:t>
      </w:r>
    </w:p>
    <w:p w14:paraId="47E4E4D6" w14:textId="77777777" w:rsidR="002428E6" w:rsidRPr="00607133" w:rsidRDefault="002428E6" w:rsidP="002428E6">
      <w:pPr>
        <w:pStyle w:val="Sansinterligne"/>
      </w:pPr>
      <w:r w:rsidRPr="00607133">
        <w:t>Document 1. Le premier bombardement de Dunkerque (21 sept. 1694)</w:t>
      </w:r>
    </w:p>
    <w:p w14:paraId="332BB385" w14:textId="77777777" w:rsidR="00E6612C" w:rsidRPr="00607133" w:rsidRDefault="00FF5ECB" w:rsidP="00E6612C">
      <w:pPr>
        <w:pStyle w:val="Notes"/>
        <w:ind w:left="-567"/>
        <w:jc w:val="center"/>
        <w:rPr>
          <w:rFonts w:cs="Times New Roman"/>
        </w:rPr>
      </w:pPr>
      <w:r w:rsidRPr="00607133">
        <w:rPr>
          <w:rFonts w:cs="Times New Roman"/>
          <w:noProof/>
        </w:rPr>
        <w:drawing>
          <wp:inline distT="0" distB="0" distL="0" distR="0" wp14:anchorId="218D8F33" wp14:editId="4EBB49E1">
            <wp:extent cx="6420255" cy="6561104"/>
            <wp:effectExtent l="12700" t="12700" r="19050" b="177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v1b6902221b_f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9052" cy="6570094"/>
                    </a:xfrm>
                    <a:prstGeom prst="rect">
                      <a:avLst/>
                    </a:prstGeom>
                    <a:ln>
                      <a:solidFill>
                        <a:schemeClr val="tx1"/>
                      </a:solidFill>
                    </a:ln>
                  </pic:spPr>
                </pic:pic>
              </a:graphicData>
            </a:graphic>
          </wp:inline>
        </w:drawing>
      </w:r>
    </w:p>
    <w:p w14:paraId="2E92BDA0" w14:textId="77777777" w:rsidR="00E6612C" w:rsidRPr="00607133" w:rsidRDefault="00E6612C" w:rsidP="00E6612C">
      <w:pPr>
        <w:pStyle w:val="Biblio"/>
        <w:spacing w:before="100" w:after="100"/>
        <w:ind w:right="-427"/>
        <w:jc w:val="right"/>
        <w:rPr>
          <w:rFonts w:cs="Times New Roman"/>
          <w:color w:val="000000" w:themeColor="text1"/>
          <w:sz w:val="20"/>
        </w:rPr>
      </w:pPr>
      <w:proofErr w:type="spellStart"/>
      <w:r w:rsidRPr="00607133">
        <w:rPr>
          <w:rFonts w:cs="Times New Roman"/>
          <w:i/>
          <w:color w:val="000000" w:themeColor="text1"/>
          <w:sz w:val="20"/>
        </w:rPr>
        <w:t>Veue</w:t>
      </w:r>
      <w:proofErr w:type="spellEnd"/>
      <w:r w:rsidRPr="00607133">
        <w:rPr>
          <w:rFonts w:cs="Times New Roman"/>
          <w:i/>
          <w:color w:val="000000" w:themeColor="text1"/>
          <w:sz w:val="20"/>
        </w:rPr>
        <w:t xml:space="preserve"> de la flotte </w:t>
      </w:r>
      <w:proofErr w:type="spellStart"/>
      <w:r w:rsidRPr="00607133">
        <w:rPr>
          <w:rFonts w:cs="Times New Roman"/>
          <w:i/>
          <w:color w:val="000000" w:themeColor="text1"/>
          <w:sz w:val="20"/>
        </w:rPr>
        <w:t>angloise</w:t>
      </w:r>
      <w:proofErr w:type="spellEnd"/>
      <w:r w:rsidRPr="00607133">
        <w:rPr>
          <w:rFonts w:cs="Times New Roman"/>
          <w:i/>
          <w:color w:val="000000" w:themeColor="text1"/>
          <w:sz w:val="20"/>
        </w:rPr>
        <w:t xml:space="preserve"> et </w:t>
      </w:r>
      <w:proofErr w:type="spellStart"/>
      <w:r w:rsidRPr="00607133">
        <w:rPr>
          <w:rFonts w:cs="Times New Roman"/>
          <w:i/>
          <w:color w:val="000000" w:themeColor="text1"/>
          <w:sz w:val="20"/>
        </w:rPr>
        <w:t>bollandoise</w:t>
      </w:r>
      <w:proofErr w:type="spellEnd"/>
      <w:r w:rsidRPr="00607133">
        <w:rPr>
          <w:rFonts w:cs="Times New Roman"/>
          <w:i/>
          <w:color w:val="000000" w:themeColor="text1"/>
          <w:sz w:val="20"/>
        </w:rPr>
        <w:t xml:space="preserve"> lors qu'elle parut devant </w:t>
      </w:r>
      <w:proofErr w:type="spellStart"/>
      <w:r w:rsidRPr="00607133">
        <w:rPr>
          <w:rFonts w:cs="Times New Roman"/>
          <w:i/>
          <w:color w:val="000000" w:themeColor="text1"/>
          <w:sz w:val="20"/>
        </w:rPr>
        <w:t>Dunquerque</w:t>
      </w:r>
      <w:proofErr w:type="spellEnd"/>
      <w:r w:rsidRPr="00607133">
        <w:rPr>
          <w:rFonts w:cs="Times New Roman"/>
          <w:i/>
          <w:color w:val="000000" w:themeColor="text1"/>
          <w:sz w:val="20"/>
        </w:rPr>
        <w:t xml:space="preserve"> </w:t>
      </w:r>
      <w:r w:rsidRPr="00607133">
        <w:rPr>
          <w:rFonts w:cs="Times New Roman"/>
          <w:i/>
          <w:color w:val="000000" w:themeColor="text1"/>
          <w:sz w:val="20"/>
        </w:rPr>
        <w:br/>
        <w:t xml:space="preserve">pour le bombarder le 21 septembre 1694 dont ils n'eurent aucun </w:t>
      </w:r>
      <w:proofErr w:type="spellStart"/>
      <w:r w:rsidRPr="00607133">
        <w:rPr>
          <w:rFonts w:cs="Times New Roman"/>
          <w:i/>
          <w:color w:val="000000" w:themeColor="text1"/>
          <w:sz w:val="20"/>
        </w:rPr>
        <w:t>succez</w:t>
      </w:r>
      <w:proofErr w:type="spellEnd"/>
      <w:r w:rsidRPr="00607133">
        <w:rPr>
          <w:rFonts w:cs="Times New Roman"/>
          <w:color w:val="000000" w:themeColor="text1"/>
          <w:sz w:val="20"/>
        </w:rPr>
        <w:t xml:space="preserve">, </w:t>
      </w:r>
      <w:r w:rsidRPr="00607133">
        <w:rPr>
          <w:rFonts w:cs="Times New Roman"/>
          <w:color w:val="000000" w:themeColor="text1"/>
          <w:sz w:val="20"/>
        </w:rPr>
        <w:br/>
      </w:r>
      <w:r w:rsidRPr="00607133">
        <w:rPr>
          <w:rFonts w:cs="Times New Roman"/>
          <w:b/>
          <w:color w:val="000000" w:themeColor="text1"/>
          <w:sz w:val="20"/>
        </w:rPr>
        <w:t>dessin</w:t>
      </w:r>
      <w:r w:rsidRPr="00607133">
        <w:rPr>
          <w:rFonts w:cs="Times New Roman"/>
          <w:color w:val="000000" w:themeColor="text1"/>
          <w:sz w:val="20"/>
        </w:rPr>
        <w:t xml:space="preserve">, Bibliothèque nationale de France, département Estampes et photographie, </w:t>
      </w:r>
      <w:r w:rsidRPr="00607133">
        <w:rPr>
          <w:rFonts w:cs="Times New Roman"/>
          <w:color w:val="000000" w:themeColor="text1"/>
          <w:sz w:val="20"/>
        </w:rPr>
        <w:br/>
        <w:t xml:space="preserve">EST VA-434, </w:t>
      </w:r>
      <w:r w:rsidRPr="00607133">
        <w:rPr>
          <w:rFonts w:cs="Times New Roman"/>
          <w:color w:val="000000" w:themeColor="text1"/>
          <w:sz w:val="20"/>
        </w:rPr>
        <w:sym w:font="Symbol" w:char="F05B"/>
      </w:r>
      <w:r w:rsidRPr="00607133">
        <w:rPr>
          <w:rFonts w:cs="Times New Roman"/>
          <w:color w:val="000000" w:themeColor="text1"/>
          <w:sz w:val="20"/>
        </w:rPr>
        <w:t>En ligne</w:t>
      </w:r>
      <w:r w:rsidRPr="00607133">
        <w:rPr>
          <w:rFonts w:cs="Times New Roman"/>
          <w:color w:val="000000" w:themeColor="text1"/>
          <w:sz w:val="20"/>
        </w:rPr>
        <w:sym w:font="Symbol" w:char="F05D"/>
      </w:r>
      <w:r w:rsidRPr="00607133">
        <w:rPr>
          <w:rFonts w:cs="Times New Roman"/>
          <w:color w:val="000000" w:themeColor="text1"/>
          <w:sz w:val="20"/>
        </w:rPr>
        <w:t xml:space="preserve">, URL : </w:t>
      </w:r>
      <w:hyperlink r:id="rId15" w:history="1">
        <w:r w:rsidRPr="00607133">
          <w:rPr>
            <w:rStyle w:val="Lienhypertexte"/>
            <w:rFonts w:cs="Times New Roman"/>
            <w:color w:val="000000" w:themeColor="text1"/>
            <w:sz w:val="20"/>
          </w:rPr>
          <w:t>https://gallica.bnf.fr/ark:/12148/btv1b6902221b</w:t>
        </w:r>
      </w:hyperlink>
      <w:r w:rsidRPr="00607133">
        <w:rPr>
          <w:rFonts w:cs="Times New Roman"/>
          <w:color w:val="000000" w:themeColor="text1"/>
          <w:sz w:val="20"/>
        </w:rPr>
        <w:t xml:space="preserve">. </w:t>
      </w:r>
    </w:p>
    <w:p w14:paraId="4E816177" w14:textId="77777777" w:rsidR="00E6612C" w:rsidRPr="00607133" w:rsidRDefault="00E6612C" w:rsidP="00E6612C">
      <w:pPr>
        <w:pStyle w:val="Sansinterligne"/>
        <w:rPr>
          <w:rFonts w:cs="Times New Roman"/>
        </w:rPr>
      </w:pPr>
      <w:r w:rsidRPr="00607133">
        <w:rPr>
          <w:rFonts w:cs="Times New Roman"/>
        </w:rPr>
        <w:t>Légende</w:t>
      </w:r>
      <w:r w:rsidR="002428E6" w:rsidRPr="00607133">
        <w:rPr>
          <w:rFonts w:cs="Times New Roman"/>
        </w:rPr>
        <w:t xml:space="preserve"> du dessin (doc. 1)</w:t>
      </w:r>
    </w:p>
    <w:p w14:paraId="5484F0DD" w14:textId="77777777" w:rsidR="00E6612C" w:rsidRPr="00607133" w:rsidRDefault="00E6612C" w:rsidP="00E6612C">
      <w:pPr>
        <w:pStyle w:val="Notes"/>
        <w:spacing w:line="276" w:lineRule="auto"/>
        <w:rPr>
          <w:rFonts w:cs="Times New Roman"/>
          <w:sz w:val="22"/>
          <w:szCs w:val="22"/>
        </w:rPr>
      </w:pPr>
      <w:r w:rsidRPr="00607133">
        <w:rPr>
          <w:rFonts w:cs="Times New Roman"/>
          <w:sz w:val="22"/>
          <w:szCs w:val="22"/>
        </w:rPr>
        <w:t xml:space="preserve">A. Machines infernales ; B. Deux machines qui échouent sans effets ; C. </w:t>
      </w:r>
      <w:proofErr w:type="spellStart"/>
      <w:r w:rsidRPr="00607133">
        <w:rPr>
          <w:rFonts w:cs="Times New Roman"/>
          <w:sz w:val="22"/>
          <w:szCs w:val="22"/>
        </w:rPr>
        <w:t>Galliottes</w:t>
      </w:r>
      <w:proofErr w:type="spellEnd"/>
      <w:r w:rsidRPr="00607133">
        <w:rPr>
          <w:rFonts w:cs="Times New Roman"/>
          <w:sz w:val="22"/>
          <w:szCs w:val="22"/>
        </w:rPr>
        <w:t xml:space="preserve"> à bombes ; D. Barques longues ; E. Gros vaisseaux qui escortent le détachement ; F. Château vert et château gaillard ; G. Le risban ; H. Le château de revers ; I. Batterie de campagne </w:t>
      </w:r>
    </w:p>
    <w:p w14:paraId="0B1937F0" w14:textId="77777777" w:rsidR="00E6612C" w:rsidRPr="00607133" w:rsidRDefault="00E6612C" w:rsidP="002428E6">
      <w:pPr>
        <w:pStyle w:val="Notes"/>
        <w:spacing w:before="120" w:line="276" w:lineRule="auto"/>
        <w:rPr>
          <w:rFonts w:cs="Times New Roman"/>
          <w:sz w:val="22"/>
          <w:szCs w:val="22"/>
        </w:rPr>
      </w:pPr>
      <w:r w:rsidRPr="00607133">
        <w:rPr>
          <w:rFonts w:cs="Times New Roman"/>
          <w:sz w:val="22"/>
          <w:szCs w:val="22"/>
        </w:rPr>
        <w:t xml:space="preserve">[Devant les forts] : « Sorties des chaloupes que M. </w:t>
      </w:r>
      <w:proofErr w:type="spellStart"/>
      <w:r w:rsidRPr="00607133">
        <w:rPr>
          <w:rFonts w:cs="Times New Roman"/>
          <w:sz w:val="22"/>
          <w:szCs w:val="22"/>
        </w:rPr>
        <w:t>Bært</w:t>
      </w:r>
      <w:proofErr w:type="spellEnd"/>
      <w:r w:rsidRPr="00607133">
        <w:rPr>
          <w:rFonts w:cs="Times New Roman"/>
          <w:sz w:val="22"/>
          <w:szCs w:val="22"/>
        </w:rPr>
        <w:t xml:space="preserve"> fait sur les ennemis ». </w:t>
      </w:r>
    </w:p>
    <w:p w14:paraId="6183AA02" w14:textId="77777777" w:rsidR="002428E6" w:rsidRPr="00607133" w:rsidRDefault="002428E6" w:rsidP="002428E6">
      <w:pPr>
        <w:pStyle w:val="Sansinterligne"/>
        <w:rPr>
          <w:color w:val="000000" w:themeColor="text1"/>
          <w:sz w:val="20"/>
        </w:rPr>
      </w:pPr>
      <w:r w:rsidRPr="00607133">
        <w:lastRenderedPageBreak/>
        <w:t>Document 2. Le second bombardement de Dunkerque (1695)</w:t>
      </w:r>
      <w:r w:rsidRPr="00607133">
        <w:rPr>
          <w:color w:val="000000" w:themeColor="text1"/>
          <w:sz w:val="20"/>
        </w:rPr>
        <w:t xml:space="preserve"> </w:t>
      </w:r>
    </w:p>
    <w:p w14:paraId="131DF4EF" w14:textId="77777777" w:rsidR="00FF5ECB" w:rsidRPr="00607133" w:rsidRDefault="002428E6" w:rsidP="008623FD">
      <w:pPr>
        <w:pStyle w:val="Notes"/>
        <w:jc w:val="center"/>
      </w:pPr>
      <w:r w:rsidRPr="00607133">
        <w:rPr>
          <w:noProof/>
        </w:rPr>
        <w:drawing>
          <wp:inline distT="0" distB="0" distL="0" distR="0" wp14:anchorId="020E18FB" wp14:editId="71E0F94C">
            <wp:extent cx="8660754" cy="5832346"/>
            <wp:effectExtent l="4445" t="0" r="571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rce_Bombardement de Dunkerque en 1695_HD.jpg"/>
                    <pic:cNvPicPr/>
                  </pic:nvPicPr>
                  <pic:blipFill rotWithShape="1">
                    <a:blip r:embed="rId16" cstate="print">
                      <a:extLst>
                        <a:ext uri="{28A0092B-C50C-407E-A947-70E740481C1C}">
                          <a14:useLocalDpi xmlns:a14="http://schemas.microsoft.com/office/drawing/2010/main" val="0"/>
                        </a:ext>
                      </a:extLst>
                    </a:blip>
                    <a:srcRect l="2170" t="3797" r="2520" b="2826"/>
                    <a:stretch/>
                  </pic:blipFill>
                  <pic:spPr bwMode="auto">
                    <a:xfrm rot="16200000">
                      <a:off x="0" y="0"/>
                      <a:ext cx="8699292" cy="5858298"/>
                    </a:xfrm>
                    <a:prstGeom prst="rect">
                      <a:avLst/>
                    </a:prstGeom>
                    <a:ln>
                      <a:noFill/>
                    </a:ln>
                    <a:extLst>
                      <a:ext uri="{53640926-AAD7-44D8-BBD7-CCE9431645EC}">
                        <a14:shadowObscured xmlns:a14="http://schemas.microsoft.com/office/drawing/2010/main"/>
                      </a:ext>
                    </a:extLst>
                  </pic:spPr>
                </pic:pic>
              </a:graphicData>
            </a:graphic>
          </wp:inline>
        </w:drawing>
      </w:r>
    </w:p>
    <w:p w14:paraId="7F4A1F01" w14:textId="77777777" w:rsidR="002428E6" w:rsidRPr="00607133" w:rsidRDefault="002428E6" w:rsidP="002428E6">
      <w:pPr>
        <w:pStyle w:val="Biblio"/>
        <w:spacing w:before="120" w:line="240" w:lineRule="auto"/>
        <w:ind w:right="-1"/>
        <w:jc w:val="right"/>
        <w:rPr>
          <w:color w:val="000000" w:themeColor="text1"/>
          <w:sz w:val="20"/>
          <w:szCs w:val="20"/>
        </w:rPr>
      </w:pPr>
      <w:r w:rsidRPr="00607133">
        <w:rPr>
          <w:smallCaps/>
          <w:color w:val="000000" w:themeColor="text1"/>
          <w:sz w:val="20"/>
          <w:szCs w:val="20"/>
        </w:rPr>
        <w:t>Anonyme</w:t>
      </w:r>
      <w:r w:rsidRPr="00607133">
        <w:rPr>
          <w:color w:val="000000" w:themeColor="text1"/>
          <w:sz w:val="20"/>
          <w:szCs w:val="20"/>
        </w:rPr>
        <w:t xml:space="preserve">, « Bombardement de Dunkerque en 1695 », s. l., 1695, BnF, GED-7356, </w:t>
      </w:r>
      <w:r w:rsidRPr="00607133">
        <w:rPr>
          <w:color w:val="000000" w:themeColor="text1"/>
          <w:sz w:val="20"/>
          <w:szCs w:val="20"/>
        </w:rPr>
        <w:br/>
        <w:t xml:space="preserve">(en ligne), URL : </w:t>
      </w:r>
      <w:hyperlink r:id="rId17" w:history="1">
        <w:r w:rsidRPr="00607133">
          <w:rPr>
            <w:rStyle w:val="Lienhypertexte"/>
            <w:color w:val="000000" w:themeColor="text1"/>
            <w:sz w:val="20"/>
            <w:szCs w:val="20"/>
          </w:rPr>
          <w:t>http://gallica.bnf.fr/ark:/12148/btv1b84462333/</w:t>
        </w:r>
      </w:hyperlink>
      <w:r w:rsidRPr="00607133">
        <w:rPr>
          <w:color w:val="000000" w:themeColor="text1"/>
          <w:sz w:val="20"/>
          <w:szCs w:val="20"/>
        </w:rPr>
        <w:t xml:space="preserve">. </w:t>
      </w:r>
    </w:p>
    <w:p w14:paraId="599473AE" w14:textId="77777777" w:rsidR="002428E6" w:rsidRPr="00607133" w:rsidRDefault="002428E6" w:rsidP="002428E6">
      <w:pPr>
        <w:pStyle w:val="Sansinterligne"/>
      </w:pPr>
      <w:r w:rsidRPr="00607133">
        <w:lastRenderedPageBreak/>
        <w:t>Légende du dessin (encadrés, doc. 2)</w:t>
      </w:r>
    </w:p>
    <w:p w14:paraId="2F26C00A" w14:textId="77777777" w:rsidR="002428E6" w:rsidRPr="00607133" w:rsidRDefault="002428E6" w:rsidP="002428E6">
      <w:pPr>
        <w:rPr>
          <w:szCs w:val="21"/>
        </w:rPr>
      </w:pPr>
      <w:r w:rsidRPr="00607133">
        <w:rPr>
          <w:szCs w:val="21"/>
        </w:rPr>
        <w:t xml:space="preserve">Les Anglais et les Hollandais, toujours fâchés du grand nombre de navires que les armateurs leur enlevaient journellement voulurent essayer une seconde fois de bombarder Dunkerque, ils firent pour cela des préparatifs si considérables qu'ils crurent n'avoir rien oublié pour réussir mieux qu'au premier qu'ils avaient entrepris. Le 4 d'août on vit paraître une flotte de 80 voiles qui vint mouiller dans la Fosse du Vieux Mardyck, éloigné d'une lieue et demie de la ville. Le 5, les ennemis furent renforcés par quatre navires hollandais ; le 6 on vit venir toute la flotte qui mouilla entre les bancs. </w:t>
      </w:r>
      <w:r w:rsidRPr="00607133">
        <w:rPr>
          <w:b/>
          <w:bCs/>
          <w:szCs w:val="21"/>
        </w:rPr>
        <w:t>A</w:t>
      </w:r>
      <w:r w:rsidRPr="00607133">
        <w:rPr>
          <w:szCs w:val="21"/>
        </w:rPr>
        <w:t xml:space="preserve"> le 7, le 8, 9 et 10, les ennemis n’exécutèrent rien, mais firent plusieurs mouvements pour venir dans la rade, ils y entrèrent enfin le 11, à 7 heures du matin. La flotte mouillée à côté de Gravelines était composée de 112 voiles, et le détachement qu’ils firent ne fut que de 60, à savoir 16 frégates (depuis 24 jusqu’à 40 canons), 18 galiotes à bombes, de 4 Brulots et plusieurs grosses chaloupes. Les Galiotes commencèrent à tirer à 8 heures, étant mouillées en croissant vers le fort de l’ouest </w:t>
      </w:r>
      <w:r w:rsidRPr="00607133">
        <w:rPr>
          <w:b/>
          <w:bCs/>
          <w:szCs w:val="21"/>
        </w:rPr>
        <w:t>B</w:t>
      </w:r>
      <w:r w:rsidRPr="00607133">
        <w:rPr>
          <w:szCs w:val="21"/>
        </w:rPr>
        <w:t xml:space="preserve">, à la portée de canon ; les frégates étaient derrière, depuis les 9 heures du matin. Jusqu’à trois heures après-midi les premiers bombardèrent sans relâche, pointant sur les forts et sur le risban, le premier brûlot qu’ils détachèrent partit de l’endroit </w:t>
      </w:r>
      <w:r w:rsidRPr="00607133">
        <w:rPr>
          <w:b/>
          <w:bCs/>
          <w:szCs w:val="21"/>
        </w:rPr>
        <w:t>C</w:t>
      </w:r>
      <w:r w:rsidRPr="00607133">
        <w:rPr>
          <w:szCs w:val="21"/>
        </w:rPr>
        <w:t xml:space="preserve">, et continua sa route avec une grande fumée. M. </w:t>
      </w:r>
      <w:proofErr w:type="spellStart"/>
      <w:r w:rsidRPr="00607133">
        <w:rPr>
          <w:szCs w:val="21"/>
        </w:rPr>
        <w:t>Mongon</w:t>
      </w:r>
      <w:proofErr w:type="spellEnd"/>
      <w:r w:rsidRPr="00607133">
        <w:rPr>
          <w:szCs w:val="21"/>
        </w:rPr>
        <w:t xml:space="preserve"> alla avec </w:t>
      </w:r>
      <w:proofErr w:type="gramStart"/>
      <w:r w:rsidRPr="00607133">
        <w:rPr>
          <w:szCs w:val="21"/>
        </w:rPr>
        <w:t>ses chaloupes droit</w:t>
      </w:r>
      <w:proofErr w:type="gramEnd"/>
      <w:r w:rsidRPr="00607133">
        <w:rPr>
          <w:szCs w:val="21"/>
        </w:rPr>
        <w:t xml:space="preserve"> à lui ; les ennemis y mirent le feu de fort loin, cela ne l’empêcha pas avec </w:t>
      </w:r>
      <w:proofErr w:type="spellStart"/>
      <w:r w:rsidRPr="00607133">
        <w:rPr>
          <w:szCs w:val="21"/>
        </w:rPr>
        <w:t>Stançois</w:t>
      </w:r>
      <w:proofErr w:type="spellEnd"/>
      <w:r w:rsidRPr="00607133">
        <w:rPr>
          <w:szCs w:val="21"/>
        </w:rPr>
        <w:t xml:space="preserve"> de jeter des grappins à son bord et de le remorquer avec une intrépidité incroyable jusqu’à l’endroit </w:t>
      </w:r>
      <w:r w:rsidRPr="00607133">
        <w:rPr>
          <w:b/>
          <w:bCs/>
          <w:szCs w:val="21"/>
        </w:rPr>
        <w:t>D</w:t>
      </w:r>
      <w:r w:rsidRPr="00607133">
        <w:rPr>
          <w:szCs w:val="21"/>
        </w:rPr>
        <w:t xml:space="preserve">, où il acheva de brûler. Ils firent partir un autre brûlot de l’endroit </w:t>
      </w:r>
      <w:r w:rsidRPr="00607133">
        <w:rPr>
          <w:b/>
          <w:bCs/>
          <w:szCs w:val="21"/>
        </w:rPr>
        <w:t>E</w:t>
      </w:r>
      <w:r w:rsidRPr="00607133">
        <w:rPr>
          <w:szCs w:val="21"/>
        </w:rPr>
        <w:t xml:space="preserve">, qui vint enfumer vers le fort </w:t>
      </w:r>
      <w:r w:rsidRPr="00607133">
        <w:rPr>
          <w:b/>
          <w:bCs/>
          <w:szCs w:val="21"/>
        </w:rPr>
        <w:t>B</w:t>
      </w:r>
      <w:r w:rsidRPr="00607133">
        <w:rPr>
          <w:szCs w:val="21"/>
        </w:rPr>
        <w:t xml:space="preserve">, d’où il reçut tant de coups de canon qu’il dériva. M. de </w:t>
      </w:r>
      <w:proofErr w:type="spellStart"/>
      <w:r w:rsidRPr="00607133">
        <w:rPr>
          <w:szCs w:val="21"/>
        </w:rPr>
        <w:t>Chateaurenaud</w:t>
      </w:r>
      <w:proofErr w:type="spellEnd"/>
      <w:r w:rsidRPr="00607133">
        <w:rPr>
          <w:szCs w:val="21"/>
        </w:rPr>
        <w:t xml:space="preserve"> fit approcher ses chaloupes, l’accrocha et le traîna jusqu’à </w:t>
      </w:r>
      <w:r w:rsidRPr="00607133">
        <w:rPr>
          <w:b/>
          <w:bCs/>
          <w:szCs w:val="21"/>
        </w:rPr>
        <w:t>F</w:t>
      </w:r>
      <w:r w:rsidRPr="00607133">
        <w:rPr>
          <w:szCs w:val="21"/>
        </w:rPr>
        <w:t xml:space="preserve"> où étant échoué il brûla sans fautes quoi qu’on reconnût après que c’était une barque à machines, remplie de bombes, carcasses et autres artifices. Ils envoyèrent des autres brûles des endroits </w:t>
      </w:r>
      <w:r w:rsidRPr="00607133">
        <w:rPr>
          <w:b/>
          <w:bCs/>
          <w:szCs w:val="21"/>
        </w:rPr>
        <w:t>G, H</w:t>
      </w:r>
      <w:r w:rsidRPr="00607133">
        <w:rPr>
          <w:szCs w:val="21"/>
        </w:rPr>
        <w:t xml:space="preserve">, qui vinrent en jetant quantité de fumée, mais les canons des forts sont servi si à propos et les chaloupes vinrent les chercher avec tant d’assurance qu’ils furent accrochés et menés aux endroits </w:t>
      </w:r>
      <w:r w:rsidRPr="00607133">
        <w:rPr>
          <w:b/>
          <w:bCs/>
          <w:szCs w:val="21"/>
        </w:rPr>
        <w:t>I, K</w:t>
      </w:r>
      <w:r w:rsidRPr="00607133">
        <w:rPr>
          <w:szCs w:val="21"/>
        </w:rPr>
        <w:t xml:space="preserve">, où ils achevèrent de brûler de plus 12 000 bombes, sans compter les </w:t>
      </w:r>
      <w:proofErr w:type="spellStart"/>
      <w:r w:rsidRPr="00607133">
        <w:rPr>
          <w:szCs w:val="21"/>
        </w:rPr>
        <w:t>garofeux</w:t>
      </w:r>
      <w:proofErr w:type="spellEnd"/>
      <w:r w:rsidRPr="00607133">
        <w:rPr>
          <w:szCs w:val="21"/>
        </w:rPr>
        <w:t xml:space="preserve"> </w:t>
      </w:r>
      <w:r w:rsidRPr="00607133">
        <w:rPr>
          <w:rStyle w:val="Indexpersonnes"/>
          <w:color w:val="000000" w:themeColor="text1"/>
        </w:rPr>
        <w:sym w:font="Symbol" w:char="F05B"/>
      </w:r>
      <w:r w:rsidRPr="00607133">
        <w:rPr>
          <w:rStyle w:val="Indexpersonnes"/>
          <w:color w:val="000000" w:themeColor="text1"/>
        </w:rPr>
        <w:t> = munitions incendiaires</w:t>
      </w:r>
      <w:r w:rsidRPr="00607133">
        <w:rPr>
          <w:rStyle w:val="Indexpersonnes"/>
          <w:color w:val="000000" w:themeColor="text1"/>
        </w:rPr>
        <w:sym w:font="Symbol" w:char="F05D"/>
      </w:r>
      <w:r w:rsidRPr="00607133">
        <w:rPr>
          <w:szCs w:val="21"/>
        </w:rPr>
        <w:t xml:space="preserve"> qui les ennemis jetèrent le feu depuis les 8 heures du matin jusqu’à 7 heures du soir, une tomba sur le fort vert </w:t>
      </w:r>
      <w:r w:rsidRPr="00607133">
        <w:rPr>
          <w:b/>
          <w:bCs/>
          <w:szCs w:val="21"/>
        </w:rPr>
        <w:t>L</w:t>
      </w:r>
      <w:r w:rsidRPr="00607133">
        <w:rPr>
          <w:szCs w:val="21"/>
        </w:rPr>
        <w:t xml:space="preserve">, et ne fit que son trou ; 10 tombèrent dans le risban, où M. de </w:t>
      </w:r>
      <w:proofErr w:type="spellStart"/>
      <w:r w:rsidRPr="00607133">
        <w:rPr>
          <w:szCs w:val="21"/>
        </w:rPr>
        <w:t>Berd</w:t>
      </w:r>
      <w:proofErr w:type="spellEnd"/>
      <w:r w:rsidRPr="00607133">
        <w:rPr>
          <w:szCs w:val="21"/>
        </w:rPr>
        <w:t>, capitaine au régiment d’</w:t>
      </w:r>
      <w:proofErr w:type="spellStart"/>
      <w:r w:rsidRPr="00607133">
        <w:rPr>
          <w:szCs w:val="21"/>
        </w:rPr>
        <w:t>Hesnières</w:t>
      </w:r>
      <w:proofErr w:type="spellEnd"/>
      <w:r w:rsidRPr="00607133">
        <w:rPr>
          <w:szCs w:val="21"/>
        </w:rPr>
        <w:t xml:space="preserve">, fut tué, qui y était allé par curiosité, après cette vaine tentative les premiers se retirèrent, une frégate qui approcha trop près des forts en louvoyant pour sortir de la rade reçut tant de coups de canon qu’elle échoua sur le </w:t>
      </w:r>
      <w:proofErr w:type="spellStart"/>
      <w:r w:rsidRPr="00607133">
        <w:rPr>
          <w:szCs w:val="21"/>
        </w:rPr>
        <w:t>Brack</w:t>
      </w:r>
      <w:proofErr w:type="spellEnd"/>
      <w:r w:rsidRPr="00607133">
        <w:rPr>
          <w:szCs w:val="21"/>
        </w:rPr>
        <w:t xml:space="preserve">. M. de Saint Pol avec ses chaloupes vint y mettre le feu en </w:t>
      </w:r>
      <w:proofErr w:type="spellStart"/>
      <w:r w:rsidRPr="00607133">
        <w:rPr>
          <w:szCs w:val="21"/>
        </w:rPr>
        <w:t>grescque</w:t>
      </w:r>
      <w:proofErr w:type="spellEnd"/>
      <w:r w:rsidRPr="00607133">
        <w:rPr>
          <w:szCs w:val="21"/>
        </w:rPr>
        <w:t xml:space="preserve"> </w:t>
      </w:r>
      <w:r w:rsidRPr="00607133">
        <w:rPr>
          <w:sz w:val="20"/>
          <w:szCs w:val="21"/>
        </w:rPr>
        <w:sym w:font="Symbol" w:char="F05B"/>
      </w:r>
      <w:r w:rsidRPr="00607133">
        <w:rPr>
          <w:sz w:val="20"/>
          <w:szCs w:val="21"/>
        </w:rPr>
        <w:t>= feu grégeois</w:t>
      </w:r>
      <w:r w:rsidRPr="00607133">
        <w:rPr>
          <w:szCs w:val="21"/>
        </w:rPr>
        <w:sym w:font="Symbol" w:char="F05D"/>
      </w:r>
      <w:r w:rsidRPr="00607133">
        <w:rPr>
          <w:szCs w:val="21"/>
        </w:rPr>
        <w:t xml:space="preserve"> de deux frégates hollandaises qui étaient pour la secourir. </w:t>
      </w:r>
    </w:p>
    <w:p w14:paraId="7CA213B3" w14:textId="77777777" w:rsidR="002428E6" w:rsidRPr="00607133" w:rsidRDefault="002428E6" w:rsidP="002428E6">
      <w:pPr>
        <w:pStyle w:val="Notes"/>
        <w:jc w:val="center"/>
        <w:rPr>
          <w:i/>
          <w:sz w:val="21"/>
          <w:szCs w:val="28"/>
        </w:rPr>
      </w:pPr>
      <w:r w:rsidRPr="00607133">
        <w:rPr>
          <w:i/>
          <w:sz w:val="21"/>
          <w:szCs w:val="28"/>
        </w:rPr>
        <w:t>Explication</w:t>
      </w:r>
    </w:p>
    <w:p w14:paraId="70DAB296" w14:textId="77777777" w:rsidR="002428E6" w:rsidRPr="00607133" w:rsidRDefault="002428E6" w:rsidP="002428E6">
      <w:pPr>
        <w:rPr>
          <w:szCs w:val="21"/>
        </w:rPr>
      </w:pPr>
      <w:r w:rsidRPr="00607133">
        <w:rPr>
          <w:b/>
          <w:bCs/>
          <w:szCs w:val="21"/>
        </w:rPr>
        <w:t>M</w:t>
      </w:r>
      <w:r w:rsidRPr="00607133">
        <w:rPr>
          <w:szCs w:val="21"/>
        </w:rPr>
        <w:t xml:space="preserve"> : ponton où il y avait 6 pièces de canon de 24 qui tiraient à fleur d’eau, commandé par M. de la Ferrière. </w:t>
      </w:r>
      <w:r w:rsidRPr="00607133">
        <w:rPr>
          <w:b/>
          <w:bCs/>
          <w:szCs w:val="21"/>
        </w:rPr>
        <w:t>B</w:t>
      </w:r>
      <w:r w:rsidRPr="00607133">
        <w:rPr>
          <w:szCs w:val="21"/>
        </w:rPr>
        <w:t xml:space="preserve"> : fort de l’ouest, commandé par M. Bart. </w:t>
      </w:r>
      <w:r w:rsidRPr="00607133">
        <w:rPr>
          <w:b/>
          <w:bCs/>
          <w:szCs w:val="21"/>
        </w:rPr>
        <w:t>L</w:t>
      </w:r>
      <w:r w:rsidRPr="00607133">
        <w:rPr>
          <w:szCs w:val="21"/>
        </w:rPr>
        <w:t xml:space="preserve"> : fort de l’est, commandé par M. de Saint Flaire, capitaine de vaisseaux. </w:t>
      </w:r>
      <w:r w:rsidRPr="00607133">
        <w:rPr>
          <w:b/>
          <w:bCs/>
          <w:szCs w:val="21"/>
        </w:rPr>
        <w:t>N</w:t>
      </w:r>
      <w:r w:rsidRPr="00607133">
        <w:rPr>
          <w:szCs w:val="21"/>
        </w:rPr>
        <w:t xml:space="preserve"> : chaloupes de M. </w:t>
      </w:r>
      <w:proofErr w:type="spellStart"/>
      <w:r w:rsidRPr="00607133">
        <w:rPr>
          <w:szCs w:val="21"/>
        </w:rPr>
        <w:t>Deringue</w:t>
      </w:r>
      <w:proofErr w:type="spellEnd"/>
      <w:r w:rsidRPr="00607133">
        <w:rPr>
          <w:szCs w:val="21"/>
        </w:rPr>
        <w:t xml:space="preserve">, chef d’escadre et commandant de marine. </w:t>
      </w:r>
      <w:r w:rsidRPr="00607133">
        <w:rPr>
          <w:b/>
          <w:bCs/>
          <w:szCs w:val="21"/>
        </w:rPr>
        <w:t>O </w:t>
      </w:r>
      <w:r w:rsidRPr="00607133">
        <w:rPr>
          <w:szCs w:val="21"/>
        </w:rPr>
        <w:t xml:space="preserve">: Chaloupes de Dunkerque. </w:t>
      </w:r>
      <w:r w:rsidRPr="00607133">
        <w:rPr>
          <w:b/>
          <w:bCs/>
          <w:szCs w:val="21"/>
        </w:rPr>
        <w:t>P</w:t>
      </w:r>
      <w:r w:rsidRPr="00607133">
        <w:rPr>
          <w:szCs w:val="21"/>
        </w:rPr>
        <w:t xml:space="preserve"> : chaloupes anglaises. </w:t>
      </w:r>
      <w:r w:rsidRPr="00607133">
        <w:rPr>
          <w:b/>
          <w:bCs/>
          <w:szCs w:val="21"/>
        </w:rPr>
        <w:t>Q</w:t>
      </w:r>
      <w:r w:rsidRPr="00607133">
        <w:rPr>
          <w:szCs w:val="21"/>
        </w:rPr>
        <w:t xml:space="preserve"> : batterie pour s’opposer au débarquement. </w:t>
      </w:r>
    </w:p>
    <w:p w14:paraId="11020860" w14:textId="77777777" w:rsidR="002428E6" w:rsidRPr="00607133" w:rsidRDefault="002428E6" w:rsidP="002428E6">
      <w:pPr>
        <w:pStyle w:val="Notes"/>
        <w:jc w:val="right"/>
      </w:pPr>
    </w:p>
    <w:p w14:paraId="1608034D" w14:textId="77777777" w:rsidR="007C4D71" w:rsidRPr="00607133" w:rsidRDefault="007C4D71" w:rsidP="00413CB6">
      <w:pPr>
        <w:pStyle w:val="Sansinterligne"/>
        <w:rPr>
          <w:rFonts w:cs="Times New Roman"/>
        </w:rPr>
      </w:pPr>
      <w:r w:rsidRPr="00607133">
        <w:rPr>
          <w:rFonts w:cs="Times New Roman"/>
        </w:rPr>
        <w:t>Bibliographie</w:t>
      </w:r>
      <w:r w:rsidR="00413CB6" w:rsidRPr="00607133">
        <w:rPr>
          <w:rFonts w:cs="Times New Roman"/>
        </w:rPr>
        <w:t xml:space="preserve"> indicative </w:t>
      </w:r>
    </w:p>
    <w:p w14:paraId="4C734BD5" w14:textId="77777777" w:rsidR="007C4D71" w:rsidRPr="00607133" w:rsidRDefault="007C4D71" w:rsidP="007C4D71">
      <w:pPr>
        <w:pStyle w:val="Biblio"/>
        <w:spacing w:before="40" w:after="40"/>
        <w:rPr>
          <w:rFonts w:cs="Times New Roman"/>
          <w:sz w:val="20"/>
          <w:szCs w:val="20"/>
        </w:rPr>
      </w:pPr>
      <w:proofErr w:type="spellStart"/>
      <w:r w:rsidRPr="00607133">
        <w:rPr>
          <w:rFonts w:cs="Times New Roman"/>
          <w:smallCaps/>
          <w:sz w:val="20"/>
          <w:szCs w:val="20"/>
        </w:rPr>
        <w:t>Bély</w:t>
      </w:r>
      <w:proofErr w:type="spellEnd"/>
      <w:r w:rsidRPr="00607133">
        <w:rPr>
          <w:rFonts w:cs="Times New Roman"/>
          <w:sz w:val="20"/>
          <w:szCs w:val="20"/>
        </w:rPr>
        <w:t xml:space="preserve">, Lucien, </w:t>
      </w:r>
      <w:r w:rsidRPr="00607133">
        <w:rPr>
          <w:rFonts w:cs="Times New Roman"/>
          <w:i/>
          <w:sz w:val="20"/>
          <w:szCs w:val="20"/>
        </w:rPr>
        <w:t>Dictionnaire Louis XIV</w:t>
      </w:r>
      <w:r w:rsidRPr="00607133">
        <w:rPr>
          <w:rFonts w:cs="Times New Roman"/>
          <w:sz w:val="20"/>
          <w:szCs w:val="20"/>
        </w:rPr>
        <w:t xml:space="preserve">, Paris, Robert Laffont, 2015, pp. 773-775. </w:t>
      </w:r>
    </w:p>
    <w:p w14:paraId="7E310051" w14:textId="77777777" w:rsidR="007C4D71" w:rsidRPr="00607133" w:rsidRDefault="007C4D71" w:rsidP="007C4D71">
      <w:pPr>
        <w:pStyle w:val="Biblio"/>
        <w:spacing w:before="40" w:after="40"/>
        <w:rPr>
          <w:rFonts w:cs="Times New Roman"/>
          <w:sz w:val="20"/>
          <w:szCs w:val="20"/>
        </w:rPr>
      </w:pPr>
      <w:proofErr w:type="spellStart"/>
      <w:r w:rsidRPr="00607133">
        <w:rPr>
          <w:rFonts w:cs="Times New Roman"/>
          <w:smallCaps/>
          <w:sz w:val="20"/>
          <w:szCs w:val="20"/>
        </w:rPr>
        <w:t>Cabantous</w:t>
      </w:r>
      <w:proofErr w:type="spellEnd"/>
      <w:r w:rsidRPr="00607133">
        <w:rPr>
          <w:rFonts w:cs="Times New Roman"/>
          <w:sz w:val="20"/>
          <w:szCs w:val="20"/>
        </w:rPr>
        <w:t xml:space="preserve">, Alain (dir.), </w:t>
      </w:r>
      <w:r w:rsidRPr="00607133">
        <w:rPr>
          <w:rFonts w:cs="Times New Roman"/>
          <w:i/>
          <w:sz w:val="20"/>
          <w:szCs w:val="20"/>
        </w:rPr>
        <w:t>Histoire de Dunkerque</w:t>
      </w:r>
      <w:r w:rsidRPr="00607133">
        <w:rPr>
          <w:rFonts w:cs="Times New Roman"/>
          <w:sz w:val="20"/>
          <w:szCs w:val="20"/>
        </w:rPr>
        <w:t xml:space="preserve">, Paris, Privat, 1983, pp. 55-77. </w:t>
      </w:r>
    </w:p>
    <w:p w14:paraId="38E630BE" w14:textId="77777777" w:rsidR="007C4D71" w:rsidRPr="00607133" w:rsidRDefault="007C4D71" w:rsidP="007C4D71">
      <w:pPr>
        <w:pStyle w:val="Biblio"/>
        <w:spacing w:before="40" w:after="40"/>
        <w:rPr>
          <w:rFonts w:cs="Times New Roman"/>
          <w:sz w:val="20"/>
          <w:szCs w:val="20"/>
        </w:rPr>
      </w:pPr>
      <w:r w:rsidRPr="00607133">
        <w:rPr>
          <w:rFonts w:cs="Times New Roman"/>
          <w:smallCaps/>
          <w:sz w:val="20"/>
          <w:szCs w:val="20"/>
        </w:rPr>
        <w:t>Martin</w:t>
      </w:r>
      <w:r w:rsidRPr="00607133">
        <w:rPr>
          <w:rFonts w:cs="Times New Roman"/>
          <w:sz w:val="20"/>
          <w:szCs w:val="20"/>
        </w:rPr>
        <w:t xml:space="preserve">, Sébastien, « L’arsenal de Dunkerque au temps de la guerre de la Ligue d’Augsbourg », </w:t>
      </w:r>
      <w:r w:rsidRPr="00607133">
        <w:rPr>
          <w:rFonts w:cs="Times New Roman"/>
          <w:i/>
          <w:iCs/>
          <w:sz w:val="20"/>
          <w:szCs w:val="20"/>
        </w:rPr>
        <w:t>Revue du Nord</w:t>
      </w:r>
      <w:r w:rsidRPr="00607133">
        <w:rPr>
          <w:rFonts w:cs="Times New Roman"/>
          <w:sz w:val="20"/>
          <w:szCs w:val="20"/>
        </w:rPr>
        <w:t xml:space="preserve">, 2016/2, 415, pp. 257-276. </w:t>
      </w:r>
    </w:p>
    <w:p w14:paraId="71E8B2AD" w14:textId="77777777" w:rsidR="007C4D71" w:rsidRPr="00607133" w:rsidRDefault="007C4D71" w:rsidP="007C4D71">
      <w:pPr>
        <w:pStyle w:val="Biblio"/>
        <w:spacing w:before="40" w:after="40"/>
        <w:rPr>
          <w:rFonts w:cs="Times New Roman"/>
          <w:sz w:val="20"/>
          <w:szCs w:val="20"/>
        </w:rPr>
      </w:pPr>
      <w:r w:rsidRPr="00607133">
        <w:rPr>
          <w:rFonts w:cs="Times New Roman"/>
          <w:smallCaps/>
          <w:sz w:val="20"/>
          <w:szCs w:val="20"/>
        </w:rPr>
        <w:t>Pfister</w:t>
      </w:r>
      <w:r w:rsidRPr="00607133">
        <w:rPr>
          <w:rFonts w:cs="Times New Roman"/>
          <w:sz w:val="20"/>
          <w:szCs w:val="20"/>
        </w:rPr>
        <w:t xml:space="preserve">, Christian, </w:t>
      </w:r>
      <w:r w:rsidRPr="00607133">
        <w:rPr>
          <w:rFonts w:cs="Times New Roman"/>
          <w:smallCaps/>
          <w:sz w:val="20"/>
          <w:szCs w:val="20"/>
        </w:rPr>
        <w:t>Terrier</w:t>
      </w:r>
      <w:r w:rsidRPr="00607133">
        <w:rPr>
          <w:rFonts w:cs="Times New Roman"/>
          <w:sz w:val="20"/>
          <w:szCs w:val="20"/>
        </w:rPr>
        <w:t xml:space="preserve">, Didier, « Entre restitution et reconstruction : le topographe Royer et Dunkerque tel qu’on le voulait encore en 1717 », </w:t>
      </w:r>
      <w:r w:rsidRPr="00607133">
        <w:rPr>
          <w:rFonts w:cs="Times New Roman"/>
          <w:i/>
          <w:iCs/>
          <w:sz w:val="20"/>
          <w:szCs w:val="20"/>
        </w:rPr>
        <w:t>Revue belge de Philologie et d’Histoire</w:t>
      </w:r>
      <w:r w:rsidRPr="00607133">
        <w:rPr>
          <w:rFonts w:cs="Times New Roman"/>
          <w:sz w:val="20"/>
          <w:szCs w:val="20"/>
        </w:rPr>
        <w:t xml:space="preserve">, 2011/2, 89, pp. 779-786. </w:t>
      </w:r>
    </w:p>
    <w:p w14:paraId="071B85E5" w14:textId="77777777" w:rsidR="00915224" w:rsidRPr="00607133" w:rsidRDefault="00EC5EF7" w:rsidP="00372643">
      <w:pPr>
        <w:pStyle w:val="Biblio"/>
        <w:spacing w:before="40" w:after="40"/>
        <w:rPr>
          <w:rFonts w:cs="Times New Roman"/>
          <w:sz w:val="20"/>
          <w:szCs w:val="20"/>
        </w:rPr>
      </w:pPr>
      <w:r w:rsidRPr="00607133">
        <w:rPr>
          <w:rFonts w:cs="Times New Roman"/>
          <w:smallCaps/>
          <w:sz w:val="20"/>
          <w:szCs w:val="20"/>
        </w:rPr>
        <w:t>**</w:t>
      </w:r>
      <w:r w:rsidR="007C4D71" w:rsidRPr="00607133">
        <w:rPr>
          <w:rFonts w:cs="Times New Roman"/>
          <w:smallCaps/>
          <w:sz w:val="20"/>
          <w:szCs w:val="20"/>
        </w:rPr>
        <w:t>Villiers</w:t>
      </w:r>
      <w:r w:rsidR="007C4D71" w:rsidRPr="00607133">
        <w:rPr>
          <w:rFonts w:cs="Times New Roman"/>
          <w:sz w:val="20"/>
          <w:szCs w:val="20"/>
        </w:rPr>
        <w:t xml:space="preserve">, Patrick, </w:t>
      </w:r>
      <w:r w:rsidR="007C4D71" w:rsidRPr="00607133">
        <w:rPr>
          <w:rFonts w:cs="Times New Roman"/>
          <w:i/>
          <w:sz w:val="20"/>
          <w:szCs w:val="20"/>
        </w:rPr>
        <w:t>Jean Bart. Corsaire du Roi-Soleil</w:t>
      </w:r>
      <w:r w:rsidR="007C4D71" w:rsidRPr="00607133">
        <w:rPr>
          <w:rFonts w:cs="Times New Roman"/>
          <w:sz w:val="20"/>
          <w:szCs w:val="20"/>
        </w:rPr>
        <w:t>, Paris, Fayard, 2013</w:t>
      </w:r>
      <w:r w:rsidR="00D64D70" w:rsidRPr="00607133">
        <w:rPr>
          <w:rFonts w:cs="Times New Roman"/>
          <w:sz w:val="20"/>
          <w:szCs w:val="20"/>
        </w:rPr>
        <w:t>, pp.</w:t>
      </w:r>
      <w:r w:rsidR="00FF2B05" w:rsidRPr="00607133">
        <w:rPr>
          <w:rFonts w:cs="Times New Roman"/>
          <w:sz w:val="20"/>
          <w:szCs w:val="20"/>
        </w:rPr>
        <w:t xml:space="preserve"> 369-398. </w:t>
      </w:r>
    </w:p>
    <w:p w14:paraId="45EC5D29" w14:textId="77777777" w:rsidR="00052564" w:rsidRPr="00607133" w:rsidRDefault="00052564">
      <w:pPr>
        <w:spacing w:before="0" w:after="0" w:line="240" w:lineRule="auto"/>
        <w:ind w:firstLine="0"/>
        <w:jc w:val="left"/>
        <w:rPr>
          <w:rFonts w:cs="Times New Roman"/>
          <w:b/>
        </w:rPr>
      </w:pPr>
      <w:r w:rsidRPr="00607133">
        <w:rPr>
          <w:rFonts w:cs="Times New Roman"/>
        </w:rPr>
        <w:br w:type="page"/>
      </w:r>
    </w:p>
    <w:p w14:paraId="17BEC5DD" w14:textId="77777777" w:rsidR="00EC5EF7" w:rsidRPr="00965E13" w:rsidRDefault="00DE7A4A" w:rsidP="00965E13">
      <w:pPr>
        <w:pStyle w:val="Sansinterligne"/>
        <w:rPr>
          <w:rFonts w:cs="Times New Roman"/>
        </w:rPr>
      </w:pPr>
      <w:r>
        <w:rPr>
          <w:rFonts w:cs="Times New Roman"/>
        </w:rPr>
        <w:lastRenderedPageBreak/>
        <w:t xml:space="preserve">Annexes (sources primaires </w:t>
      </w:r>
      <w:r>
        <w:rPr>
          <w:rFonts w:cs="Times New Roman"/>
          <w:i/>
        </w:rPr>
        <w:t>et</w:t>
      </w:r>
      <w:r>
        <w:rPr>
          <w:rFonts w:cs="Times New Roman"/>
        </w:rPr>
        <w:t xml:space="preserve"> secondaires)</w:t>
      </w:r>
      <w:r w:rsidR="00965E13">
        <w:rPr>
          <w:rStyle w:val="Appelnotedebasdep"/>
          <w:rFonts w:cs="Times New Roman"/>
        </w:rPr>
        <w:footnoteReference w:id="12"/>
      </w:r>
    </w:p>
    <w:p w14:paraId="0CB96C35" w14:textId="77777777" w:rsidR="00DE7A4A" w:rsidRPr="00965E13" w:rsidRDefault="00DE7A4A" w:rsidP="00673FC0">
      <w:pPr>
        <w:ind w:firstLine="0"/>
        <w:rPr>
          <w:b/>
        </w:rPr>
      </w:pPr>
      <w:r w:rsidRPr="00965E13">
        <w:rPr>
          <w:b/>
        </w:rPr>
        <w:t xml:space="preserve">1. </w:t>
      </w:r>
      <w:r w:rsidR="00916A14" w:rsidRPr="00965E13">
        <w:rPr>
          <w:b/>
        </w:rPr>
        <w:t>Le premier bombardement de Dunkerque</w:t>
      </w:r>
      <w:r w:rsidR="00F045EC" w:rsidRPr="00965E13">
        <w:rPr>
          <w:b/>
        </w:rPr>
        <w:t xml:space="preserve"> d’après un mémorialiste français</w:t>
      </w:r>
    </w:p>
    <w:p w14:paraId="4078D438" w14:textId="77777777" w:rsidR="00F045EC" w:rsidRPr="00916A14" w:rsidRDefault="00F045EC" w:rsidP="007F2EAD">
      <w:pPr>
        <w:rPr>
          <w:szCs w:val="22"/>
        </w:rPr>
      </w:pPr>
      <w:r w:rsidRPr="00916A14">
        <w:rPr>
          <w:rFonts w:cs="Times New Roman"/>
          <w:szCs w:val="22"/>
        </w:rPr>
        <w:t>[</w:t>
      </w:r>
      <w:r w:rsidRPr="00916A14">
        <w:rPr>
          <w:rFonts w:cs="Times New Roman"/>
          <w:i/>
          <w:szCs w:val="22"/>
        </w:rPr>
        <w:t>23 sept. 1694</w:t>
      </w:r>
      <w:r w:rsidRPr="00916A14">
        <w:rPr>
          <w:rFonts w:cs="Times New Roman"/>
          <w:szCs w:val="22"/>
        </w:rPr>
        <w:t xml:space="preserve">] </w:t>
      </w:r>
      <w:r w:rsidRPr="00916A14">
        <w:rPr>
          <w:szCs w:val="22"/>
        </w:rPr>
        <w:t xml:space="preserve">« On eut nouvelles que la flotte ennemie paraissait devant Dunkerque à dessein de bombarder la place. Ils y ont quarante-cinq vaisseaux de guerre ; mais leurs plus gros vaisseaux sont demeurés sur la Tamise ». </w:t>
      </w:r>
      <w:r w:rsidRPr="00916A14">
        <w:rPr>
          <w:rFonts w:cs="Times New Roman"/>
          <w:szCs w:val="22"/>
        </w:rPr>
        <w:t>[</w:t>
      </w:r>
      <w:r w:rsidRPr="00916A14">
        <w:rPr>
          <w:rFonts w:cs="Times New Roman"/>
          <w:i/>
          <w:szCs w:val="22"/>
        </w:rPr>
        <w:t>24 sept. 1694</w:t>
      </w:r>
      <w:r w:rsidRPr="00916A14">
        <w:rPr>
          <w:rFonts w:cs="Times New Roman"/>
          <w:szCs w:val="22"/>
        </w:rPr>
        <w:t>]</w:t>
      </w:r>
      <w:r w:rsidRPr="00916A14">
        <w:rPr>
          <w:szCs w:val="22"/>
        </w:rPr>
        <w:t xml:space="preserve"> « Les ennemis avaient fait approcher quelques galiotes à bombes de la place ; ils en ont jeté quelques-unes qui n’ont pu aller jusqu’à la ville. Deux de leurs machines qu’on appelle machines infernales avaient voulu s’approcher des forts de bois ; notre canon y a mis le feu et les a fait sauter en l’air. Leurs vaisseaux se sont retirés dans la fosse de Mardyck. M. du Maine &amp; M. le comte de Toulouse sont dans Dunkerque ».</w:t>
      </w:r>
      <w:r w:rsidR="00916A14" w:rsidRPr="00916A14">
        <w:rPr>
          <w:rFonts w:cs="Times New Roman"/>
          <w:szCs w:val="22"/>
        </w:rPr>
        <w:t xml:space="preserve"> </w:t>
      </w:r>
      <w:r w:rsidRPr="00916A14">
        <w:rPr>
          <w:rFonts w:cs="Times New Roman"/>
          <w:szCs w:val="22"/>
        </w:rPr>
        <w:t>[</w:t>
      </w:r>
      <w:r w:rsidRPr="00916A14">
        <w:rPr>
          <w:rFonts w:cs="Times New Roman"/>
          <w:i/>
          <w:szCs w:val="22"/>
        </w:rPr>
        <w:t>25 sept. 169</w:t>
      </w:r>
      <w:r w:rsidR="00916A14" w:rsidRPr="00916A14">
        <w:rPr>
          <w:rFonts w:cs="Times New Roman"/>
          <w:i/>
          <w:szCs w:val="22"/>
        </w:rPr>
        <w:t>4</w:t>
      </w:r>
      <w:r w:rsidRPr="00916A14">
        <w:rPr>
          <w:rFonts w:cs="Times New Roman"/>
          <w:szCs w:val="22"/>
        </w:rPr>
        <w:t>]</w:t>
      </w:r>
      <w:r w:rsidRPr="00916A14">
        <w:rPr>
          <w:szCs w:val="22"/>
        </w:rPr>
        <w:t xml:space="preserve"> « Il arriva un courrier du maréchal de Villeroy de Dunkerque ; il mande que les vaisseaux ennemis sont encore dans la fosse de Mardyck. M. le duc de Chartres, M. le duc, M. le prince de Conty sont allés à Dunkerque, où M. du Maine &amp; M. le comte de Toulouse sont demeurés »</w:t>
      </w:r>
      <w:r w:rsidR="00916A14">
        <w:rPr>
          <w:szCs w:val="22"/>
        </w:rPr>
        <w:t xml:space="preserve">. </w:t>
      </w:r>
      <w:r w:rsidRPr="00916A14">
        <w:rPr>
          <w:rFonts w:cs="Times New Roman"/>
          <w:szCs w:val="22"/>
        </w:rPr>
        <w:t>[</w:t>
      </w:r>
      <w:r w:rsidRPr="007F2EAD">
        <w:rPr>
          <w:rFonts w:cs="Times New Roman"/>
          <w:i/>
          <w:szCs w:val="22"/>
        </w:rPr>
        <w:t>26 sept. 169</w:t>
      </w:r>
      <w:r w:rsidR="00916A14" w:rsidRPr="007F2EAD">
        <w:rPr>
          <w:rFonts w:cs="Times New Roman"/>
          <w:i/>
          <w:szCs w:val="22"/>
        </w:rPr>
        <w:t>4</w:t>
      </w:r>
      <w:r w:rsidRPr="00916A14">
        <w:rPr>
          <w:rFonts w:cs="Times New Roman"/>
          <w:szCs w:val="22"/>
        </w:rPr>
        <w:t>]</w:t>
      </w:r>
      <w:r w:rsidRPr="00916A14">
        <w:rPr>
          <w:szCs w:val="22"/>
        </w:rPr>
        <w:t xml:space="preserve"> « Les ennemis sont toujours dans la fosse de Mardyck ; mais on ne croit pas qu’ils tentent de sitôt de bombarder Dunkerque. Voici le temps de la morte eau qui approche, qui les empêchera de pouvoir s’approcher de la place » </w:t>
      </w:r>
      <w:r w:rsidRPr="00916A14">
        <w:rPr>
          <w:rFonts w:cs="Times New Roman"/>
          <w:szCs w:val="22"/>
        </w:rPr>
        <w:t>[</w:t>
      </w:r>
      <w:r w:rsidRPr="007F2EAD">
        <w:rPr>
          <w:rFonts w:cs="Times New Roman"/>
          <w:i/>
          <w:szCs w:val="22"/>
        </w:rPr>
        <w:t>28 sept. 169</w:t>
      </w:r>
      <w:r w:rsidR="00916A14" w:rsidRPr="007F2EAD">
        <w:rPr>
          <w:rFonts w:cs="Times New Roman"/>
          <w:i/>
          <w:szCs w:val="22"/>
        </w:rPr>
        <w:t>4</w:t>
      </w:r>
      <w:r w:rsidRPr="00916A14">
        <w:rPr>
          <w:rFonts w:cs="Times New Roman"/>
          <w:szCs w:val="22"/>
        </w:rPr>
        <w:t>]</w:t>
      </w:r>
      <w:r w:rsidRPr="00916A14">
        <w:rPr>
          <w:szCs w:val="22"/>
        </w:rPr>
        <w:t xml:space="preserve"> « Il y a des lettres de Dunkerque du 26, qui portent qu’il est resté peu de vaisseaux ennemis dans la fosse de Mardyck, &amp; M. d’Aumont mande, du même jour, qu’ils sont devant Calais &amp; qu’ils y ont déjà jeté une bombe »</w:t>
      </w:r>
      <w:r w:rsidR="00896D1F">
        <w:rPr>
          <w:szCs w:val="22"/>
        </w:rPr>
        <w:t xml:space="preserve">. </w:t>
      </w:r>
    </w:p>
    <w:p w14:paraId="76722D33" w14:textId="77777777" w:rsidR="004349F8" w:rsidRPr="004349F8" w:rsidRDefault="00703939" w:rsidP="007F2EAD">
      <w:pPr>
        <w:jc w:val="right"/>
        <w:rPr>
          <w:sz w:val="20"/>
        </w:rPr>
      </w:pPr>
      <w:r>
        <w:rPr>
          <w:sz w:val="20"/>
        </w:rPr>
        <w:t xml:space="preserve">Philippe de </w:t>
      </w:r>
      <w:proofErr w:type="spellStart"/>
      <w:r>
        <w:rPr>
          <w:sz w:val="20"/>
        </w:rPr>
        <w:t>Courcillon</w:t>
      </w:r>
      <w:proofErr w:type="spellEnd"/>
      <w:r>
        <w:rPr>
          <w:sz w:val="20"/>
        </w:rPr>
        <w:t xml:space="preserve">, marquis de </w:t>
      </w:r>
      <w:r w:rsidR="00F045EC">
        <w:rPr>
          <w:sz w:val="20"/>
        </w:rPr>
        <w:t xml:space="preserve">Dangeau, </w:t>
      </w:r>
      <w:r>
        <w:rPr>
          <w:i/>
          <w:sz w:val="20"/>
        </w:rPr>
        <w:t>Journal</w:t>
      </w:r>
      <w:r>
        <w:rPr>
          <w:sz w:val="20"/>
        </w:rPr>
        <w:t xml:space="preserve"> </w:t>
      </w:r>
      <w:r>
        <w:rPr>
          <w:rFonts w:ascii="Times New Roman" w:hAnsi="Times New Roman" w:cs="Times New Roman"/>
          <w:sz w:val="20"/>
        </w:rPr>
        <w:t>[</w:t>
      </w:r>
      <w:r w:rsidR="00A45481">
        <w:rPr>
          <w:rFonts w:ascii="Times New Roman" w:hAnsi="Times New Roman" w:cs="Times New Roman"/>
          <w:sz w:val="20"/>
        </w:rPr>
        <w:t>1684-1720</w:t>
      </w:r>
      <w:r>
        <w:rPr>
          <w:rFonts w:ascii="Times New Roman" w:hAnsi="Times New Roman" w:cs="Times New Roman"/>
          <w:sz w:val="20"/>
        </w:rPr>
        <w:t>]</w:t>
      </w:r>
      <w:r w:rsidR="00F045EC">
        <w:rPr>
          <w:sz w:val="20"/>
        </w:rPr>
        <w:t xml:space="preserve">, </w:t>
      </w:r>
      <w:r>
        <w:rPr>
          <w:sz w:val="20"/>
        </w:rPr>
        <w:br/>
        <w:t xml:space="preserve">éd. </w:t>
      </w:r>
      <w:r w:rsidRPr="00703939">
        <w:rPr>
          <w:sz w:val="20"/>
        </w:rPr>
        <w:t>Laurent Sortais</w:t>
      </w:r>
      <w:r>
        <w:rPr>
          <w:sz w:val="20"/>
        </w:rPr>
        <w:t xml:space="preserve">, Clermont-Ferrand, Paléo, 2005, vol. 8, </w:t>
      </w:r>
      <w:r w:rsidR="00F045EC">
        <w:rPr>
          <w:sz w:val="20"/>
        </w:rPr>
        <w:t>p. 129-133</w:t>
      </w:r>
      <w:r w:rsidR="004349F8" w:rsidRPr="005A389C">
        <w:rPr>
          <w:sz w:val="20"/>
        </w:rPr>
        <w:t>.</w:t>
      </w:r>
      <w:r w:rsidR="004349F8" w:rsidRPr="00607133">
        <w:rPr>
          <w:sz w:val="20"/>
        </w:rPr>
        <w:t xml:space="preserve"> </w:t>
      </w:r>
    </w:p>
    <w:p w14:paraId="153CFAF6" w14:textId="77777777" w:rsidR="00915224" w:rsidRPr="00607133" w:rsidRDefault="00915224" w:rsidP="00673FC0">
      <w:pPr>
        <w:ind w:firstLine="0"/>
        <w:rPr>
          <w:b/>
        </w:rPr>
      </w:pPr>
      <w:r w:rsidRPr="00607133">
        <w:rPr>
          <w:b/>
        </w:rPr>
        <w:t>2. Le Dunkerque de Vauban</w:t>
      </w:r>
    </w:p>
    <w:p w14:paraId="5F74658A" w14:textId="77777777" w:rsidR="00915224" w:rsidRPr="00607133" w:rsidRDefault="00C02E3E" w:rsidP="006F286A">
      <w:pPr>
        <w:rPr>
          <w:rFonts w:cs="Times New Roman"/>
          <w:szCs w:val="22"/>
        </w:rPr>
      </w:pPr>
      <w:r w:rsidRPr="00607133">
        <w:rPr>
          <w:rFonts w:cs="Times New Roman"/>
          <w:szCs w:val="22"/>
        </w:rPr>
        <w:t xml:space="preserve">Au début de la guerre de Succession d’Espagne, Dunkerque est une place-forte protégée par quatre forts sur mer : le fort Risban, le château vert, le fort de Bonne Espérance et le château Gaillard. Deux d’entre eux sont à l’extrémité des jetées et disposent d’affuts de canon propres à dissuader de toute approche les navires ennemis, anglais et hollandais en l’occurrence. Les jetées, quant à elles, sont perpendiculaires aux bancs de sable qui ont été coupés entre le rivage et la passe. Entrer dans le chenal suppose donc une grande familiarité avec les conditions nautiques locales. Ces jetées font deux kilomètres de long : leur dimension est alors tout à fait exceptionnelle en Europe. Nulle part ailleurs, on ne trouve de claires-voies aussi considérables. Protégé de la sorte des courants, des tempêtes et du sable, le chenal est l’accès direct au port. </w:t>
      </w:r>
      <w:r w:rsidR="00743EA1" w:rsidRPr="00607133">
        <w:rPr>
          <w:rFonts w:cs="Times New Roman"/>
          <w:szCs w:val="22"/>
        </w:rPr>
        <w:t>[…]</w:t>
      </w:r>
      <w:r w:rsidRPr="00607133">
        <w:rPr>
          <w:rFonts w:cs="Times New Roman"/>
          <w:szCs w:val="22"/>
        </w:rPr>
        <w:t xml:space="preserve">. </w:t>
      </w:r>
      <w:r w:rsidRPr="00607133">
        <w:rPr>
          <w:rFonts w:eastAsia="Times New Roman"/>
          <w:szCs w:val="22"/>
          <w:lang w:eastAsia="fr-FR"/>
        </w:rPr>
        <w:t xml:space="preserve">Passé le coude du chenal, on entre dans le port proprement dit, borné symboliquement par la tour du </w:t>
      </w:r>
      <w:proofErr w:type="spellStart"/>
      <w:r w:rsidRPr="00607133">
        <w:rPr>
          <w:rFonts w:eastAsia="Times New Roman"/>
          <w:szCs w:val="22"/>
          <w:lang w:eastAsia="fr-FR"/>
        </w:rPr>
        <w:t>Leughenar</w:t>
      </w:r>
      <w:proofErr w:type="spellEnd"/>
      <w:r w:rsidRPr="00607133">
        <w:rPr>
          <w:rFonts w:eastAsia="Times New Roman"/>
          <w:szCs w:val="22"/>
          <w:lang w:eastAsia="fr-FR"/>
        </w:rPr>
        <w:t xml:space="preserve"> qui précède la tour Gaspard, laquelle semble veiller sur les navires accostés. </w:t>
      </w:r>
      <w:r w:rsidR="00743EA1" w:rsidRPr="00607133">
        <w:rPr>
          <w:rFonts w:eastAsia="Times New Roman" w:cs="Times New Roman"/>
          <w:szCs w:val="22"/>
          <w:lang w:eastAsia="fr-FR"/>
        </w:rPr>
        <w:t>[…]</w:t>
      </w:r>
      <w:r w:rsidR="00743EA1" w:rsidRPr="00607133">
        <w:rPr>
          <w:rFonts w:eastAsia="Times New Roman"/>
          <w:szCs w:val="22"/>
          <w:lang w:eastAsia="fr-FR"/>
        </w:rPr>
        <w:t xml:space="preserve"> </w:t>
      </w:r>
      <w:r w:rsidRPr="00607133">
        <w:rPr>
          <w:rFonts w:eastAsia="Times New Roman"/>
          <w:szCs w:val="22"/>
          <w:lang w:eastAsia="fr-FR"/>
        </w:rPr>
        <w:t xml:space="preserve">L’arrière-port constitue une zone de calme servant de bassin de réception pour toutes les eaux de l’intérieur et de lancement pour les bateaux construits dans le parc de la Marine. Celui-ci montre l’emprise de la marine royale dans l’espace urbain. En avant de ce parc s’étend l’Arsenal de marine centré sur son bassin et son écluse à sas </w:t>
      </w:r>
      <w:r w:rsidR="00743EA1" w:rsidRPr="00607133">
        <w:rPr>
          <w:rFonts w:eastAsia="Times New Roman" w:cs="Times New Roman"/>
          <w:szCs w:val="22"/>
          <w:lang w:eastAsia="fr-FR"/>
        </w:rPr>
        <w:t>[…]</w:t>
      </w:r>
      <w:r w:rsidRPr="00607133">
        <w:rPr>
          <w:rFonts w:eastAsia="Times New Roman"/>
          <w:szCs w:val="22"/>
          <w:lang w:eastAsia="fr-FR"/>
        </w:rPr>
        <w:t xml:space="preserve">. Au premier plan, face à la mer, l’arsenal est protégé par une citadelle dominant les flots. On y trouve une place d’armes, la chapelle et le logis du gouverneur. </w:t>
      </w:r>
      <w:r w:rsidRPr="00607133">
        <w:rPr>
          <w:rFonts w:eastAsia="Times New Roman" w:cs="Times New Roman"/>
          <w:szCs w:val="22"/>
          <w:lang w:eastAsia="fr-FR"/>
        </w:rPr>
        <w:t xml:space="preserve">Ce dernier a également la responsabilité de la nouvelle enceinte conçue par Vauban. Celle-ci </w:t>
      </w:r>
      <w:r w:rsidR="006F286A" w:rsidRPr="00607133">
        <w:rPr>
          <w:rFonts w:eastAsia="Times New Roman" w:cs="Times New Roman"/>
          <w:szCs w:val="22"/>
          <w:lang w:eastAsia="fr-FR"/>
        </w:rPr>
        <w:t>[…]</w:t>
      </w:r>
      <w:r w:rsidRPr="00607133">
        <w:rPr>
          <w:rFonts w:eastAsia="Times New Roman" w:cs="Times New Roman"/>
          <w:szCs w:val="22"/>
          <w:lang w:eastAsia="fr-FR"/>
        </w:rPr>
        <w:t xml:space="preserve"> a permis à la ville </w:t>
      </w:r>
      <w:proofErr w:type="spellStart"/>
      <w:r w:rsidRPr="00607133">
        <w:rPr>
          <w:rFonts w:eastAsia="Times New Roman" w:cs="Times New Roman"/>
          <w:i/>
          <w:iCs/>
          <w:szCs w:val="22"/>
          <w:lang w:eastAsia="fr-FR"/>
        </w:rPr>
        <w:t>intra muros</w:t>
      </w:r>
      <w:proofErr w:type="spellEnd"/>
      <w:r w:rsidRPr="00607133">
        <w:rPr>
          <w:rFonts w:eastAsia="Times New Roman" w:cs="Times New Roman"/>
          <w:i/>
          <w:iCs/>
          <w:szCs w:val="22"/>
          <w:lang w:eastAsia="fr-FR"/>
        </w:rPr>
        <w:t xml:space="preserve"> </w:t>
      </w:r>
      <w:r w:rsidRPr="00607133">
        <w:rPr>
          <w:rFonts w:eastAsia="Times New Roman" w:cs="Times New Roman"/>
          <w:szCs w:val="22"/>
          <w:lang w:eastAsia="fr-FR"/>
        </w:rPr>
        <w:t xml:space="preserve">de doubler de surface et d’y installer tous les nouveaux </w:t>
      </w:r>
      <w:r w:rsidRPr="00607133">
        <w:rPr>
          <w:rFonts w:eastAsia="Times New Roman"/>
          <w:szCs w:val="22"/>
          <w:lang w:eastAsia="fr-FR"/>
        </w:rPr>
        <w:t>bâtiments régaliens</w:t>
      </w:r>
      <w:r w:rsidRPr="00607133">
        <w:rPr>
          <w:rFonts w:eastAsia="Times New Roman" w:cs="Times New Roman"/>
          <w:szCs w:val="22"/>
          <w:lang w:eastAsia="fr-FR"/>
        </w:rPr>
        <w:t xml:space="preserve"> et places d’apparat. </w:t>
      </w:r>
      <w:r w:rsidR="006F286A" w:rsidRPr="00607133">
        <w:rPr>
          <w:rFonts w:eastAsia="Times New Roman" w:cs="Times New Roman"/>
          <w:szCs w:val="22"/>
          <w:lang w:eastAsia="fr-FR"/>
        </w:rPr>
        <w:t xml:space="preserve">[…] Il </w:t>
      </w:r>
      <w:r w:rsidRPr="00607133">
        <w:rPr>
          <w:rFonts w:eastAsia="Times New Roman" w:cs="Times New Roman"/>
          <w:szCs w:val="22"/>
          <w:lang w:eastAsia="fr-FR"/>
        </w:rPr>
        <w:t xml:space="preserve">faut noter, </w:t>
      </w:r>
      <w:r w:rsidRPr="00607133">
        <w:rPr>
          <w:rFonts w:eastAsia="Times New Roman"/>
          <w:szCs w:val="22"/>
          <w:lang w:eastAsia="fr-FR"/>
        </w:rPr>
        <w:t>côté</w:t>
      </w:r>
      <w:r w:rsidRPr="00607133">
        <w:rPr>
          <w:rFonts w:eastAsia="Times New Roman" w:cs="Times New Roman"/>
          <w:szCs w:val="22"/>
          <w:lang w:eastAsia="fr-FR"/>
        </w:rPr>
        <w:t xml:space="preserve"> terre, la ligne impressionnante de casernes qui, </w:t>
      </w:r>
      <w:r w:rsidRPr="00607133">
        <w:rPr>
          <w:rFonts w:eastAsia="Times New Roman"/>
          <w:szCs w:val="22"/>
          <w:lang w:eastAsia="fr-FR"/>
        </w:rPr>
        <w:t>flanquées</w:t>
      </w:r>
      <w:r w:rsidRPr="00607133">
        <w:rPr>
          <w:rFonts w:eastAsia="Times New Roman" w:cs="Times New Roman"/>
          <w:szCs w:val="22"/>
          <w:lang w:eastAsia="fr-FR"/>
        </w:rPr>
        <w:t xml:space="preserve"> de champs de manœuvre, servent de logements </w:t>
      </w:r>
      <w:r w:rsidRPr="00607133">
        <w:rPr>
          <w:rFonts w:eastAsia="Times New Roman"/>
          <w:szCs w:val="22"/>
          <w:lang w:eastAsia="fr-FR"/>
        </w:rPr>
        <w:t>à</w:t>
      </w:r>
      <w:r w:rsidRPr="00607133">
        <w:rPr>
          <w:rFonts w:eastAsia="Times New Roman" w:cs="Times New Roman"/>
          <w:szCs w:val="22"/>
          <w:lang w:eastAsia="fr-FR"/>
        </w:rPr>
        <w:t xml:space="preserve"> la garnison</w:t>
      </w:r>
      <w:r w:rsidRPr="00607133">
        <w:rPr>
          <w:rFonts w:eastAsia="Times New Roman"/>
          <w:szCs w:val="22"/>
          <w:lang w:eastAsia="fr-FR"/>
        </w:rPr>
        <w:t xml:space="preserve">. </w:t>
      </w:r>
    </w:p>
    <w:p w14:paraId="0F68457D" w14:textId="77777777" w:rsidR="00915224" w:rsidRPr="00607133" w:rsidRDefault="00915224" w:rsidP="00E22668">
      <w:pPr>
        <w:pStyle w:val="Biblio"/>
        <w:spacing w:before="240" w:after="40"/>
        <w:jc w:val="right"/>
        <w:rPr>
          <w:rFonts w:cs="Times New Roman"/>
          <w:sz w:val="20"/>
          <w:szCs w:val="20"/>
        </w:rPr>
      </w:pPr>
      <w:r w:rsidRPr="00607133">
        <w:rPr>
          <w:rFonts w:cs="Times New Roman"/>
          <w:sz w:val="20"/>
          <w:szCs w:val="20"/>
        </w:rPr>
        <w:t>Christian</w:t>
      </w:r>
      <w:r w:rsidRPr="00607133">
        <w:rPr>
          <w:rFonts w:cs="Times New Roman"/>
          <w:smallCaps/>
          <w:sz w:val="20"/>
          <w:szCs w:val="20"/>
        </w:rPr>
        <w:t xml:space="preserve"> </w:t>
      </w:r>
      <w:r w:rsidRPr="00607133">
        <w:rPr>
          <w:rFonts w:cs="Times New Roman"/>
          <w:sz w:val="20"/>
          <w:szCs w:val="20"/>
        </w:rPr>
        <w:t>Pfister, Didier</w:t>
      </w:r>
      <w:r w:rsidRPr="00607133">
        <w:rPr>
          <w:rFonts w:cs="Times New Roman"/>
          <w:smallCaps/>
          <w:sz w:val="20"/>
          <w:szCs w:val="20"/>
        </w:rPr>
        <w:t xml:space="preserve"> </w:t>
      </w:r>
      <w:r w:rsidRPr="00607133">
        <w:rPr>
          <w:rFonts w:cs="Times New Roman"/>
          <w:sz w:val="20"/>
          <w:szCs w:val="20"/>
        </w:rPr>
        <w:t xml:space="preserve">Terrier, « Entre restitution et reconstruction : </w:t>
      </w:r>
      <w:r w:rsidRPr="00607133">
        <w:rPr>
          <w:rFonts w:cs="Times New Roman"/>
          <w:sz w:val="20"/>
          <w:szCs w:val="20"/>
        </w:rPr>
        <w:br/>
        <w:t xml:space="preserve">le topographe Royer et Dunkerque tel qu’on le voulait encore en 1717 », </w:t>
      </w:r>
      <w:r w:rsidRPr="00607133">
        <w:rPr>
          <w:rFonts w:cs="Times New Roman"/>
          <w:sz w:val="20"/>
          <w:szCs w:val="20"/>
        </w:rPr>
        <w:br/>
      </w:r>
      <w:r w:rsidRPr="00607133">
        <w:rPr>
          <w:rFonts w:cs="Times New Roman"/>
          <w:i/>
          <w:iCs/>
          <w:sz w:val="20"/>
          <w:szCs w:val="20"/>
        </w:rPr>
        <w:t>Revue belge de Philologie et d’Histoire</w:t>
      </w:r>
      <w:r w:rsidRPr="00607133">
        <w:rPr>
          <w:rFonts w:cs="Times New Roman"/>
          <w:sz w:val="20"/>
          <w:szCs w:val="20"/>
        </w:rPr>
        <w:t xml:space="preserve">, 2011/2, 89, pp. 779-786. </w:t>
      </w:r>
    </w:p>
    <w:p w14:paraId="2E3E8488" w14:textId="77777777" w:rsidR="003D3D43" w:rsidRPr="00607133" w:rsidRDefault="00915224" w:rsidP="003D3D43">
      <w:r w:rsidRPr="00607133">
        <w:t xml:space="preserve"> </w:t>
      </w:r>
    </w:p>
    <w:p w14:paraId="2F6F311F" w14:textId="77777777" w:rsidR="00A345A8" w:rsidRPr="00607133" w:rsidRDefault="00A345A8" w:rsidP="00EB6881">
      <w:pPr>
        <w:pStyle w:val="Biblio"/>
        <w:spacing w:before="40" w:after="40"/>
        <w:rPr>
          <w:rFonts w:cs="Times New Roman"/>
          <w:sz w:val="20"/>
          <w:szCs w:val="20"/>
        </w:rPr>
      </w:pPr>
    </w:p>
    <w:p w14:paraId="57BC3253" w14:textId="77777777" w:rsidR="00A04B6D" w:rsidRPr="00607133" w:rsidRDefault="00A04B6D" w:rsidP="00A04B6D">
      <w:pPr>
        <w:rPr>
          <w:rFonts w:cs="Times New Roman"/>
        </w:rPr>
      </w:pPr>
      <w:r w:rsidRPr="00607133">
        <w:rPr>
          <w:rFonts w:cs="Times New Roman"/>
        </w:rPr>
        <w:br w:type="page"/>
      </w:r>
    </w:p>
    <w:p w14:paraId="69E37F9A" w14:textId="77777777" w:rsidR="006D16FE" w:rsidRPr="00607133" w:rsidRDefault="006D16FE" w:rsidP="006D16FE">
      <w:pPr>
        <w:pStyle w:val="Titre"/>
        <w:rPr>
          <w:rFonts w:cs="Times New Roman"/>
        </w:rPr>
        <w:sectPr w:rsidR="006D16FE" w:rsidRPr="00607133" w:rsidSect="00D3596E">
          <w:pgSz w:w="11905" w:h="16837"/>
          <w:pgMar w:top="843" w:right="1417" w:bottom="1152" w:left="1417" w:header="708" w:footer="708" w:gutter="0"/>
          <w:cols w:space="708"/>
          <w:docGrid w:linePitch="360"/>
        </w:sectPr>
      </w:pPr>
    </w:p>
    <w:p w14:paraId="57A334E6" w14:textId="77777777" w:rsidR="00786EE6" w:rsidRDefault="00786EE6" w:rsidP="006D16FE">
      <w:pPr>
        <w:pStyle w:val="Titre"/>
        <w:rPr>
          <w:rFonts w:cs="Times New Roman"/>
        </w:rPr>
      </w:pPr>
      <w:r>
        <w:rPr>
          <w:rFonts w:cs="Times New Roman"/>
        </w:rPr>
        <w:lastRenderedPageBreak/>
        <w:t>Séance 12</w:t>
      </w:r>
      <w:r w:rsidR="00475636">
        <w:rPr>
          <w:rFonts w:cs="Times New Roman"/>
        </w:rPr>
        <w:br/>
      </w:r>
      <w:r w:rsidR="00475636" w:rsidRPr="00475636">
        <w:rPr>
          <w:rFonts w:cs="Times New Roman"/>
        </w:rPr>
        <w:t>L’administration des colonies et l’esclavage au XVIII</w:t>
      </w:r>
      <w:r w:rsidR="00475636" w:rsidRPr="00176665">
        <w:rPr>
          <w:rFonts w:cs="Times New Roman"/>
          <w:vertAlign w:val="superscript"/>
        </w:rPr>
        <w:t>e</w:t>
      </w:r>
      <w:r w:rsidR="00475636" w:rsidRPr="00475636">
        <w:rPr>
          <w:rFonts w:cs="Times New Roman"/>
        </w:rPr>
        <w:t xml:space="preserve"> siècle</w:t>
      </w:r>
      <w:r w:rsidR="00475636">
        <w:rPr>
          <w:rFonts w:cs="Times New Roman"/>
        </w:rPr>
        <w:t xml:space="preserve"> </w:t>
      </w:r>
    </w:p>
    <w:p w14:paraId="2B31425C" w14:textId="77777777" w:rsidR="00475636" w:rsidRDefault="00475636" w:rsidP="00475636">
      <w:pPr>
        <w:pStyle w:val="Sansinterligne"/>
      </w:pPr>
      <w:r>
        <w:t>Source. Interrogatoire</w:t>
      </w:r>
      <w:r w:rsidR="00E91BD4">
        <w:t>s</w:t>
      </w:r>
      <w:r>
        <w:t xml:space="preserve"> de </w:t>
      </w:r>
      <w:proofErr w:type="spellStart"/>
      <w:r>
        <w:t>Comba</w:t>
      </w:r>
      <w:proofErr w:type="spellEnd"/>
      <w:r w:rsidR="00E91BD4">
        <w:t xml:space="preserve"> et de Louison</w:t>
      </w:r>
      <w:r>
        <w:t>, esclave</w:t>
      </w:r>
      <w:r w:rsidR="00E91BD4">
        <w:t>s</w:t>
      </w:r>
      <w:r>
        <w:t xml:space="preserve"> noire</w:t>
      </w:r>
      <w:r w:rsidR="00E91BD4">
        <w:t>s</w:t>
      </w:r>
      <w:r>
        <w:t xml:space="preserve"> de Louisiane (1764)</w:t>
      </w:r>
    </w:p>
    <w:p w14:paraId="1BCB7EFE" w14:textId="77777777" w:rsidR="00150EE4" w:rsidRPr="00CB4802" w:rsidRDefault="00150EE4" w:rsidP="00150EE4">
      <w:pPr>
        <w:rPr>
          <w:sz w:val="23"/>
          <w:szCs w:val="23"/>
        </w:rPr>
      </w:pPr>
      <w:r w:rsidRPr="00CB4802">
        <w:rPr>
          <w:sz w:val="23"/>
          <w:szCs w:val="23"/>
        </w:rPr>
        <w:t xml:space="preserve">4 septembre 1764. Interrogatoire de la négresse </w:t>
      </w:r>
      <w:proofErr w:type="spellStart"/>
      <w:r w:rsidRPr="00CB4802">
        <w:rPr>
          <w:sz w:val="23"/>
          <w:szCs w:val="23"/>
        </w:rPr>
        <w:t>Comba</w:t>
      </w:r>
      <w:proofErr w:type="spellEnd"/>
      <w:r w:rsidRPr="00CB4802">
        <w:rPr>
          <w:sz w:val="23"/>
          <w:szCs w:val="23"/>
        </w:rPr>
        <w:t xml:space="preserve">. Interrogatoire fait par nous, conseiller commissaire en cette partie, à la requête du procureur général du Roi et en vertu de l’ordonnance de Monsieur </w:t>
      </w:r>
      <w:proofErr w:type="spellStart"/>
      <w:r w:rsidRPr="00CB4802">
        <w:rPr>
          <w:sz w:val="23"/>
          <w:szCs w:val="23"/>
        </w:rPr>
        <w:t>Dabbadie</w:t>
      </w:r>
      <w:proofErr w:type="spellEnd"/>
      <w:r w:rsidRPr="00CB4802">
        <w:rPr>
          <w:sz w:val="23"/>
          <w:szCs w:val="23"/>
        </w:rPr>
        <w:t xml:space="preserve">, à la négresse nommée </w:t>
      </w:r>
      <w:proofErr w:type="spellStart"/>
      <w:r w:rsidRPr="00CB4802">
        <w:rPr>
          <w:sz w:val="23"/>
          <w:szCs w:val="23"/>
        </w:rPr>
        <w:t>Comba</w:t>
      </w:r>
      <w:proofErr w:type="spellEnd"/>
      <w:r w:rsidRPr="00CB4802">
        <w:rPr>
          <w:sz w:val="23"/>
          <w:szCs w:val="23"/>
        </w:rPr>
        <w:t xml:space="preserve"> contre le nègre nommé Louis, accusé détenu en les prisons de cette ville, ainsi qu’il suit. A été emmenée des prisons, la négresse nommée </w:t>
      </w:r>
      <w:proofErr w:type="spellStart"/>
      <w:r w:rsidRPr="00CB4802">
        <w:rPr>
          <w:sz w:val="23"/>
          <w:szCs w:val="23"/>
        </w:rPr>
        <w:t>Comba</w:t>
      </w:r>
      <w:proofErr w:type="spellEnd"/>
      <w:r w:rsidRPr="00CB4802">
        <w:rPr>
          <w:sz w:val="23"/>
          <w:szCs w:val="23"/>
        </w:rPr>
        <w:t xml:space="preserve">, demeura à l’hôpital des pauvres, laquelle après serment par elle fait de dire vérité, sur laquelle serait par nous interrogée, l’a été ainsi qu’il en suit. </w:t>
      </w:r>
    </w:p>
    <w:p w14:paraId="68D39942" w14:textId="77777777" w:rsidR="00150EE4" w:rsidRPr="00CB4802" w:rsidRDefault="00150EE4" w:rsidP="00150EE4">
      <w:pPr>
        <w:rPr>
          <w:sz w:val="23"/>
          <w:szCs w:val="23"/>
        </w:rPr>
      </w:pPr>
      <w:r w:rsidRPr="00CB4802">
        <w:rPr>
          <w:sz w:val="23"/>
          <w:szCs w:val="23"/>
        </w:rPr>
        <w:t xml:space="preserve">Interrogée de son nom, âge, qualité et demeure, a dit s’appeler Julie, autrement </w:t>
      </w:r>
      <w:proofErr w:type="spellStart"/>
      <w:r w:rsidRPr="00CB4802">
        <w:rPr>
          <w:sz w:val="23"/>
          <w:szCs w:val="23"/>
        </w:rPr>
        <w:t>Comba</w:t>
      </w:r>
      <w:proofErr w:type="spellEnd"/>
      <w:r w:rsidRPr="00CB4802">
        <w:rPr>
          <w:sz w:val="23"/>
          <w:szCs w:val="23"/>
        </w:rPr>
        <w:t xml:space="preserve">, âgée de cinquante ans, nation </w:t>
      </w:r>
      <w:proofErr w:type="spellStart"/>
      <w:r w:rsidRPr="00CB4802">
        <w:rPr>
          <w:sz w:val="23"/>
          <w:szCs w:val="23"/>
        </w:rPr>
        <w:t>Manenga</w:t>
      </w:r>
      <w:proofErr w:type="spellEnd"/>
      <w:r w:rsidRPr="00CB4802">
        <w:rPr>
          <w:sz w:val="23"/>
          <w:szCs w:val="23"/>
        </w:rPr>
        <w:t xml:space="preserve">, demeurant à l’hôpital des pauvres. </w:t>
      </w:r>
    </w:p>
    <w:p w14:paraId="18AB61A7" w14:textId="77777777" w:rsidR="00150EE4" w:rsidRPr="00CB4802" w:rsidRDefault="00150EE4" w:rsidP="00CB4802">
      <w:pPr>
        <w:rPr>
          <w:sz w:val="23"/>
          <w:szCs w:val="23"/>
        </w:rPr>
      </w:pPr>
      <w:r w:rsidRPr="00CB4802">
        <w:rPr>
          <w:sz w:val="23"/>
          <w:szCs w:val="23"/>
        </w:rPr>
        <w:t xml:space="preserve">Interrogée si elle connaît le nommé Louis ou Foy, a dit qu’elle le connaît depuis qu’il est dans le pays ici et non pas auparavant. Interrogée depuis quand elle n’avait pas vu ledit Louis, a dit ne l’avoir pas vu depuis deux mois qui était avant d’être mise en prison. </w:t>
      </w:r>
    </w:p>
    <w:p w14:paraId="01CE13FF" w14:textId="77777777" w:rsidR="0066525B" w:rsidRPr="00CB4802" w:rsidRDefault="00150EE4" w:rsidP="00150EE4">
      <w:pPr>
        <w:rPr>
          <w:sz w:val="23"/>
          <w:szCs w:val="23"/>
        </w:rPr>
      </w:pPr>
      <w:r w:rsidRPr="00CB4802">
        <w:rPr>
          <w:sz w:val="23"/>
          <w:szCs w:val="23"/>
        </w:rPr>
        <w:t>Interrogée comment est-ce qu’elle connaissait Louis, a dit qu’après que Louis fut descendu des Illinois</w:t>
      </w:r>
      <w:r w:rsidR="00C2271A" w:rsidRPr="00CB4802">
        <w:rPr>
          <w:rStyle w:val="Appelnotedebasdep"/>
          <w:sz w:val="23"/>
          <w:szCs w:val="23"/>
        </w:rPr>
        <w:footnoteReference w:id="13"/>
      </w:r>
      <w:r w:rsidRPr="00CB4802">
        <w:rPr>
          <w:sz w:val="23"/>
          <w:szCs w:val="23"/>
        </w:rPr>
        <w:t xml:space="preserve">, elle avait coutume d’aller souvent voir Louison dans le jardin </w:t>
      </w:r>
      <w:proofErr w:type="spellStart"/>
      <w:r w:rsidRPr="00CB4802">
        <w:rPr>
          <w:sz w:val="23"/>
          <w:szCs w:val="23"/>
        </w:rPr>
        <w:t>Cautrelle</w:t>
      </w:r>
      <w:proofErr w:type="spellEnd"/>
      <w:r w:rsidRPr="00CB4802">
        <w:rPr>
          <w:sz w:val="23"/>
          <w:szCs w:val="23"/>
        </w:rPr>
        <w:t xml:space="preserve">, qu’un jour elle y fut y trouva plusieurs nègres bambaras qui fumaient beaucoup, qu’ensuite la négresse Louison fut la chercher, une autre fois qu’elle y retourna et qu’elle y trouva encore le nègre Louis qu’ils y soupèrent ensemble, que la négresse nommée Fatema appartenant à Monsieur La </w:t>
      </w:r>
      <w:proofErr w:type="spellStart"/>
      <w:r w:rsidRPr="00CB4802">
        <w:rPr>
          <w:sz w:val="23"/>
          <w:szCs w:val="23"/>
        </w:rPr>
        <w:t>Frenière</w:t>
      </w:r>
      <w:proofErr w:type="spellEnd"/>
      <w:r w:rsidRPr="00CB4802">
        <w:rPr>
          <w:sz w:val="23"/>
          <w:szCs w:val="23"/>
        </w:rPr>
        <w:t xml:space="preserve"> avait préparé le souper, qu’alors elle dit à Louis qu’est-ce qu’il faisait là, qu’il était marron, que Louis lui dit qu’il était descendu avec sa maîtresse des Illinois, qu’il n’était pas marron, qu’elle lui dit </w:t>
      </w:r>
      <w:proofErr w:type="spellStart"/>
      <w:r w:rsidRPr="00CB4802">
        <w:rPr>
          <w:i/>
          <w:sz w:val="23"/>
          <w:szCs w:val="23"/>
        </w:rPr>
        <w:t>commant</w:t>
      </w:r>
      <w:proofErr w:type="spellEnd"/>
      <w:r w:rsidRPr="00CB4802">
        <w:rPr>
          <w:i/>
          <w:sz w:val="23"/>
          <w:szCs w:val="23"/>
        </w:rPr>
        <w:t xml:space="preserve"> </w:t>
      </w:r>
      <w:proofErr w:type="spellStart"/>
      <w:r w:rsidRPr="00CB4802">
        <w:rPr>
          <w:i/>
          <w:sz w:val="23"/>
          <w:szCs w:val="23"/>
        </w:rPr>
        <w:t>ligagner</w:t>
      </w:r>
      <w:proofErr w:type="spellEnd"/>
      <w:r w:rsidRPr="00CB4802">
        <w:rPr>
          <w:i/>
          <w:sz w:val="23"/>
          <w:szCs w:val="23"/>
        </w:rPr>
        <w:t xml:space="preserve"> a vivre</w:t>
      </w:r>
      <w:r w:rsidRPr="00CB4802">
        <w:rPr>
          <w:sz w:val="23"/>
          <w:szCs w:val="23"/>
        </w:rPr>
        <w:t xml:space="preserve"> puisqu’il ne travaillait point que ledit Louis lui dit que sa maîtresse le laissait libre, parce qu’il avait mal à une jambe et jusqu’à ce qu’il fut guéri, que pour manger il n’en manquait point, qu’il en trouvait partout dans la ville.</w:t>
      </w:r>
      <w:r w:rsidR="0066525B" w:rsidRPr="00CB4802">
        <w:rPr>
          <w:sz w:val="23"/>
          <w:szCs w:val="23"/>
        </w:rPr>
        <w:t xml:space="preserve"> </w:t>
      </w:r>
      <w:r w:rsidR="0066525B" w:rsidRPr="00CB4802">
        <w:rPr>
          <w:rFonts w:cs="Times New Roman"/>
          <w:sz w:val="23"/>
          <w:szCs w:val="23"/>
        </w:rPr>
        <w:t>[</w:t>
      </w:r>
      <w:proofErr w:type="spellStart"/>
      <w:r w:rsidR="0066525B" w:rsidRPr="00CB4802">
        <w:rPr>
          <w:rFonts w:cs="Times New Roman"/>
          <w:sz w:val="23"/>
          <w:szCs w:val="23"/>
        </w:rPr>
        <w:t>Comba</w:t>
      </w:r>
      <w:proofErr w:type="spellEnd"/>
      <w:r w:rsidR="0066525B" w:rsidRPr="00CB4802">
        <w:rPr>
          <w:rFonts w:cs="Times New Roman"/>
          <w:sz w:val="23"/>
          <w:szCs w:val="23"/>
        </w:rPr>
        <w:t xml:space="preserve">] </w:t>
      </w:r>
      <w:r w:rsidR="0066525B" w:rsidRPr="00CB4802">
        <w:rPr>
          <w:sz w:val="23"/>
          <w:szCs w:val="23"/>
        </w:rPr>
        <w:t>a dit de plus que ladite Louison avait permission de son maître pour le souper où ils ne mangèrent que du cochon qui appartenait à la négresse Louison.</w:t>
      </w:r>
    </w:p>
    <w:p w14:paraId="59E1C652" w14:textId="77777777" w:rsidR="00F9404A" w:rsidRPr="00CB4802" w:rsidRDefault="0066525B" w:rsidP="00CB4802">
      <w:pPr>
        <w:rPr>
          <w:sz w:val="23"/>
          <w:szCs w:val="23"/>
        </w:rPr>
      </w:pPr>
      <w:r w:rsidRPr="00CB4802">
        <w:rPr>
          <w:sz w:val="23"/>
          <w:szCs w:val="23"/>
        </w:rPr>
        <w:t>Interrogée s’ils étaient plusieurs, a dit qu’ils étaient plusieurs, mais qu’elle ne les connaît point. Interrogée si elle n’a jamais vu ledit Louis à l’hôpital des pauvres, a dit qu’elle l’y a vu plusieurs fois.</w:t>
      </w:r>
      <w:r w:rsidR="00CB4802">
        <w:rPr>
          <w:sz w:val="23"/>
          <w:szCs w:val="23"/>
        </w:rPr>
        <w:t xml:space="preserve"> </w:t>
      </w:r>
      <w:r w:rsidRPr="00CB4802">
        <w:rPr>
          <w:sz w:val="23"/>
          <w:szCs w:val="23"/>
        </w:rPr>
        <w:t>Interrogée si le nègre Louis n’avait pas couché avec elle dans sa cabane, a dit que oui qu’il y avait couché, qu’elle ne savait pas qu’il fut marron.</w:t>
      </w:r>
      <w:r w:rsidR="00F9404A" w:rsidRPr="00CB4802">
        <w:rPr>
          <w:sz w:val="23"/>
          <w:szCs w:val="23"/>
        </w:rPr>
        <w:t xml:space="preserve"> </w:t>
      </w:r>
    </w:p>
    <w:p w14:paraId="458229D5" w14:textId="77777777" w:rsidR="00814780" w:rsidRPr="00CB4802" w:rsidRDefault="0066525B" w:rsidP="00F9404A">
      <w:pPr>
        <w:rPr>
          <w:sz w:val="23"/>
          <w:szCs w:val="23"/>
        </w:rPr>
      </w:pPr>
      <w:r w:rsidRPr="00CB4802">
        <w:rPr>
          <w:sz w:val="23"/>
          <w:szCs w:val="23"/>
        </w:rPr>
        <w:t>Interrogée si elle ne lui avait pas donné</w:t>
      </w:r>
      <w:r w:rsidR="00814780" w:rsidRPr="00CB4802">
        <w:rPr>
          <w:sz w:val="23"/>
          <w:szCs w:val="23"/>
        </w:rPr>
        <w:t xml:space="preserve"> un </w:t>
      </w:r>
      <w:proofErr w:type="spellStart"/>
      <w:r w:rsidR="00814780" w:rsidRPr="00CB4802">
        <w:rPr>
          <w:sz w:val="23"/>
          <w:szCs w:val="23"/>
        </w:rPr>
        <w:t>Goinbeau</w:t>
      </w:r>
      <w:proofErr w:type="spellEnd"/>
      <w:r w:rsidR="0032557D" w:rsidRPr="00CB4802">
        <w:rPr>
          <w:rStyle w:val="Appelnotedebasdep"/>
          <w:sz w:val="23"/>
          <w:szCs w:val="23"/>
        </w:rPr>
        <w:footnoteReference w:id="14"/>
      </w:r>
      <w:r w:rsidR="00814780" w:rsidRPr="00CB4802">
        <w:rPr>
          <w:sz w:val="23"/>
          <w:szCs w:val="23"/>
        </w:rPr>
        <w:t xml:space="preserve"> avec César et une autre négresse, a dit que oui, cela était vrai, qu’ils étaient quatre.</w:t>
      </w:r>
    </w:p>
    <w:p w14:paraId="2D8BAC64" w14:textId="77777777" w:rsidR="0032557D" w:rsidRPr="00CB4802" w:rsidRDefault="00814780" w:rsidP="00F9404A">
      <w:pPr>
        <w:rPr>
          <w:sz w:val="23"/>
          <w:szCs w:val="23"/>
        </w:rPr>
      </w:pPr>
      <w:r w:rsidRPr="00CB4802">
        <w:rPr>
          <w:sz w:val="23"/>
          <w:szCs w:val="23"/>
        </w:rPr>
        <w:t>Interrogée que César même donna à Louis cinquante sols pour aller chercher le filet</w:t>
      </w:r>
      <w:r w:rsidR="00C2271A" w:rsidRPr="00CB4802">
        <w:rPr>
          <w:rStyle w:val="Appelnotedebasdep"/>
          <w:sz w:val="23"/>
          <w:szCs w:val="23"/>
        </w:rPr>
        <w:footnoteReference w:id="15"/>
      </w:r>
      <w:r w:rsidRPr="00CB4802">
        <w:rPr>
          <w:sz w:val="23"/>
          <w:szCs w:val="23"/>
        </w:rPr>
        <w:t>, qu’il y fut et burent tous ensemble.</w:t>
      </w:r>
      <w:r w:rsidR="00F9404A" w:rsidRPr="00CB4802">
        <w:rPr>
          <w:sz w:val="23"/>
          <w:szCs w:val="23"/>
        </w:rPr>
        <w:t xml:space="preserve"> </w:t>
      </w:r>
      <w:r w:rsidRPr="00CB4802">
        <w:rPr>
          <w:sz w:val="23"/>
          <w:szCs w:val="23"/>
        </w:rPr>
        <w:t>Interrogée si Louis ne lui avait pas donné une carotte de tabac, a dit que oui, qu’il lui en avait donné une, mais qu’il la reprit, après qu’il en avait volé dix, avec de la toile dont il a fait des chemises et des culottes, qu’il ne se cachait point qu’il les coupait devant la porte de l’hôpital qu’elle lui avait donné des aiguilles.</w:t>
      </w:r>
      <w:r w:rsidR="00F9404A" w:rsidRPr="00CB4802">
        <w:rPr>
          <w:sz w:val="23"/>
          <w:szCs w:val="23"/>
        </w:rPr>
        <w:t xml:space="preserve"> </w:t>
      </w:r>
      <w:r w:rsidR="0032557D" w:rsidRPr="00CB4802">
        <w:rPr>
          <w:sz w:val="23"/>
          <w:szCs w:val="23"/>
        </w:rPr>
        <w:t xml:space="preserve">Interrogée si elle ne sait pas si Louis avait volé ailleurs, a dit qu’elle sait que Louis avait volé des hardes à la négresse au Sieur </w:t>
      </w:r>
      <w:proofErr w:type="spellStart"/>
      <w:r w:rsidR="0032557D" w:rsidRPr="00CB4802">
        <w:rPr>
          <w:sz w:val="23"/>
          <w:szCs w:val="23"/>
        </w:rPr>
        <w:t>Baschemin</w:t>
      </w:r>
      <w:proofErr w:type="spellEnd"/>
      <w:r w:rsidR="0032557D" w:rsidRPr="00CB4802">
        <w:rPr>
          <w:sz w:val="23"/>
          <w:szCs w:val="23"/>
        </w:rPr>
        <w:t xml:space="preserve">, mais qu’il avait ensuite vendu les hardes, mais non pas l’argent qu’il avait volé aussi qu’il l’avait employé en </w:t>
      </w:r>
      <w:r w:rsidR="00F9404A" w:rsidRPr="00CB4802">
        <w:rPr>
          <w:sz w:val="23"/>
          <w:szCs w:val="23"/>
        </w:rPr>
        <w:t>tafia</w:t>
      </w:r>
      <w:r w:rsidR="0032557D" w:rsidRPr="00CB4802">
        <w:rPr>
          <w:sz w:val="23"/>
          <w:szCs w:val="23"/>
        </w:rPr>
        <w:t xml:space="preserve">. </w:t>
      </w:r>
    </w:p>
    <w:p w14:paraId="62615443" w14:textId="77777777" w:rsidR="005F5759" w:rsidRPr="00CB4802" w:rsidRDefault="0032557D" w:rsidP="00F9404A">
      <w:pPr>
        <w:rPr>
          <w:sz w:val="23"/>
          <w:szCs w:val="23"/>
        </w:rPr>
      </w:pPr>
      <w:r w:rsidRPr="00CB4802">
        <w:rPr>
          <w:sz w:val="23"/>
          <w:szCs w:val="23"/>
        </w:rPr>
        <w:lastRenderedPageBreak/>
        <w:t>Interrogée si elle</w:t>
      </w:r>
      <w:r w:rsidR="005F5759" w:rsidRPr="00CB4802">
        <w:rPr>
          <w:sz w:val="23"/>
          <w:szCs w:val="23"/>
        </w:rPr>
        <w:t xml:space="preserve"> n’a pas su que Louis avait volé un cochon aux Jésuites, a dit que cela était vrai, que Louis avait tué un cochon, mais, comme le cochon était gros, il ne put le faire sortir par-dessus la palissade, que lui et César le partagèrent, et chacun fit passer sa portion par-dessus la palissade et que Louis fit vendre la sienne au bayou, qu’au surplus, ce Louis lui en donna un morceau qu’ils mangèrent ensemble tous les deux. Interrogée si elle n’a pas connaissance que le nègre Louis ait volé chez la Dame </w:t>
      </w:r>
      <w:proofErr w:type="spellStart"/>
      <w:r w:rsidR="005F5759" w:rsidRPr="00CB4802">
        <w:rPr>
          <w:sz w:val="23"/>
          <w:szCs w:val="23"/>
        </w:rPr>
        <w:t>Daneville</w:t>
      </w:r>
      <w:proofErr w:type="spellEnd"/>
      <w:r w:rsidR="005F5759" w:rsidRPr="00CB4802">
        <w:rPr>
          <w:sz w:val="23"/>
          <w:szCs w:val="23"/>
        </w:rPr>
        <w:t xml:space="preserve">, a dit qu’étant à laver au fossé elle avait vu beaucoup de linge à sécher dans le jardin au Sieur </w:t>
      </w:r>
      <w:proofErr w:type="spellStart"/>
      <w:r w:rsidR="005F5759" w:rsidRPr="00CB4802">
        <w:rPr>
          <w:sz w:val="23"/>
          <w:szCs w:val="23"/>
        </w:rPr>
        <w:t>Cautrelle</w:t>
      </w:r>
      <w:proofErr w:type="spellEnd"/>
      <w:r w:rsidR="005F5759" w:rsidRPr="00CB4802">
        <w:rPr>
          <w:sz w:val="23"/>
          <w:szCs w:val="23"/>
        </w:rPr>
        <w:t xml:space="preserve">, qu’elle avait demandé à Louison si elle avait lavé, qu’elle lui dit que non, que c’était du linge au nègre Louis, mais que le linge n’avait jamais été porté chez elle. Interrogée si elle n’a pas connaissance que le nègre Louis couchait souvent chez Louison dans la cabane au jardin de </w:t>
      </w:r>
      <w:proofErr w:type="spellStart"/>
      <w:r w:rsidR="005F5759" w:rsidRPr="00CB4802">
        <w:rPr>
          <w:sz w:val="23"/>
          <w:szCs w:val="23"/>
        </w:rPr>
        <w:t>Cautrelle</w:t>
      </w:r>
      <w:proofErr w:type="spellEnd"/>
      <w:r w:rsidR="005F5759" w:rsidRPr="00CB4802">
        <w:rPr>
          <w:sz w:val="23"/>
          <w:szCs w:val="23"/>
        </w:rPr>
        <w:t xml:space="preserve">, a dit que depuis que Louis était descendu des Illinois, il couchait dans ladite cabane ou chez elle, qu’il y avait même couché plusieurs fois. </w:t>
      </w:r>
    </w:p>
    <w:p w14:paraId="4AEA89AC" w14:textId="77777777" w:rsidR="005F5759" w:rsidRPr="00CB4802" w:rsidRDefault="005F5759" w:rsidP="00F9404A">
      <w:pPr>
        <w:rPr>
          <w:sz w:val="23"/>
          <w:szCs w:val="23"/>
        </w:rPr>
      </w:pPr>
      <w:r w:rsidRPr="00CB4802">
        <w:rPr>
          <w:sz w:val="23"/>
          <w:szCs w:val="23"/>
        </w:rPr>
        <w:t xml:space="preserve">Qu’est tout ce qu’elle a dit savoir. Lecture à elle faite du présent interrogatoire, a dit le bien entendre ses réponses contenir vérité et y a persisté et n’a su signer. Du dit jour, a été emmenée des prisons la négresse Louison laquelle a fait serment de dire vérité sur ce qu’elle serait par nous interrogée, ainsi qu’il en suit. </w:t>
      </w:r>
    </w:p>
    <w:p w14:paraId="22B06494" w14:textId="77777777" w:rsidR="005F5759" w:rsidRPr="00CB4802" w:rsidRDefault="005F5759" w:rsidP="005F5759">
      <w:pPr>
        <w:rPr>
          <w:rFonts w:ascii="Times New Roman" w:hAnsi="Times New Roman" w:cs="Times New Roman"/>
          <w:sz w:val="23"/>
          <w:szCs w:val="23"/>
        </w:rPr>
      </w:pPr>
      <w:r w:rsidRPr="00CB4802">
        <w:rPr>
          <w:sz w:val="23"/>
          <w:szCs w:val="23"/>
        </w:rPr>
        <w:t xml:space="preserve">Interrogée de son âge, qualité et demeure, a dit s’appeler Louison, âgée de cinquante, appartenant au Sieur </w:t>
      </w:r>
      <w:proofErr w:type="spellStart"/>
      <w:r w:rsidRPr="00CB4802">
        <w:rPr>
          <w:sz w:val="23"/>
          <w:szCs w:val="23"/>
        </w:rPr>
        <w:t>Cautrelle</w:t>
      </w:r>
      <w:proofErr w:type="spellEnd"/>
      <w:r w:rsidRPr="00CB4802">
        <w:rPr>
          <w:sz w:val="23"/>
          <w:szCs w:val="23"/>
        </w:rPr>
        <w:t xml:space="preserve">. Interrogée si elle connaît Louis ou autrement appelé Foy, a dit le connaître. Interrogée s’il n’avait pas couché chez elle plusieurs fois, a dit y avoir couché pendant deux mois. Interrogée si Louis ne mangeait pas, a dit qu’il y mangeait souvent principalement une fois où ils étaient nombre, César, Mama </w:t>
      </w:r>
      <w:proofErr w:type="spellStart"/>
      <w:r w:rsidRPr="00CB4802">
        <w:rPr>
          <w:sz w:val="23"/>
          <w:szCs w:val="23"/>
        </w:rPr>
        <w:t>Comba</w:t>
      </w:r>
      <w:proofErr w:type="spellEnd"/>
      <w:r w:rsidRPr="00CB4802">
        <w:rPr>
          <w:sz w:val="23"/>
          <w:szCs w:val="23"/>
        </w:rPr>
        <w:t xml:space="preserve">, son mari à elle, la négresse à Caillé et d’autres. </w:t>
      </w:r>
      <w:r w:rsidRPr="00CB4802">
        <w:rPr>
          <w:rFonts w:cs="Times New Roman"/>
          <w:sz w:val="23"/>
          <w:szCs w:val="23"/>
        </w:rPr>
        <w:t xml:space="preserve">[Louison] a dit que cela est vrai mais que la négresse à Caillé nommée Marianne n’y soupa pas et César apporta son souper, pour aller souper avec elle. </w:t>
      </w:r>
    </w:p>
    <w:p w14:paraId="640F341E" w14:textId="77777777" w:rsidR="005F5759" w:rsidRPr="00CB4802" w:rsidRDefault="005F5759" w:rsidP="005F5759">
      <w:pPr>
        <w:rPr>
          <w:sz w:val="23"/>
          <w:szCs w:val="23"/>
        </w:rPr>
      </w:pPr>
      <w:r w:rsidRPr="00CB4802">
        <w:rPr>
          <w:sz w:val="23"/>
          <w:szCs w:val="23"/>
        </w:rPr>
        <w:t>Interrogée si Louis connaissait César, a dit qu’il fallait bien</w:t>
      </w:r>
      <w:r w:rsidR="00F9404A" w:rsidRPr="00CB4802">
        <w:rPr>
          <w:sz w:val="23"/>
          <w:szCs w:val="23"/>
        </w:rPr>
        <w:t xml:space="preserve"> qu’il le connut, puisque ce fut Louis qui emmena ledit César dans sa cabane, que ce César n’avait plus mis le pied et qu’ils étaient tous deux grands camarades. </w:t>
      </w:r>
    </w:p>
    <w:p w14:paraId="364F3F23" w14:textId="77777777" w:rsidR="00F9404A" w:rsidRPr="00CB4802" w:rsidRDefault="00F9404A" w:rsidP="005F5759">
      <w:pPr>
        <w:rPr>
          <w:sz w:val="23"/>
          <w:szCs w:val="23"/>
        </w:rPr>
      </w:pPr>
      <w:r w:rsidRPr="00CB4802">
        <w:rPr>
          <w:sz w:val="23"/>
          <w:szCs w:val="23"/>
        </w:rPr>
        <w:t xml:space="preserve">Interrogée si elle a connaissance que Louis ait volé quelques porcs, a dit qu’elle avait connaissance que Louis et César avait volé chez Madame </w:t>
      </w:r>
      <w:proofErr w:type="spellStart"/>
      <w:r w:rsidRPr="00CB4802">
        <w:rPr>
          <w:sz w:val="23"/>
          <w:szCs w:val="23"/>
        </w:rPr>
        <w:t>Daneville</w:t>
      </w:r>
      <w:proofErr w:type="spellEnd"/>
      <w:r w:rsidRPr="00CB4802">
        <w:rPr>
          <w:sz w:val="23"/>
          <w:szCs w:val="23"/>
        </w:rPr>
        <w:t xml:space="preserve"> et qu’ils avaient porté le linge à sécher sur les herbes du jardin du Sieur </w:t>
      </w:r>
      <w:proofErr w:type="spellStart"/>
      <w:r w:rsidRPr="00CB4802">
        <w:rPr>
          <w:sz w:val="23"/>
          <w:szCs w:val="23"/>
        </w:rPr>
        <w:t>Cautrelle</w:t>
      </w:r>
      <w:proofErr w:type="spellEnd"/>
      <w:r w:rsidRPr="00CB4802">
        <w:rPr>
          <w:sz w:val="23"/>
          <w:szCs w:val="23"/>
        </w:rPr>
        <w:t xml:space="preserve">, et qu’ensuite ils l’avaient emporté dans le bois. Qu’une autre fois, Louis lui avait apporté un grand paquet de linges, mais qu’elle lui dit de lui sortir cela dehors, qu’en effet Louis et César ensemble l’emportèrent à l’habitation de l’hôpital des pauvres, et le donnèrent à la négresse Marie-Jeanne pour le vendre, que Louis lui avait dit qu’elle l’avait vendu et lui en avait donné l’argent. </w:t>
      </w:r>
    </w:p>
    <w:p w14:paraId="1935EC32" w14:textId="77777777" w:rsidR="00F9404A" w:rsidRPr="00CB4802" w:rsidRDefault="00F9404A" w:rsidP="005F5759">
      <w:pPr>
        <w:rPr>
          <w:sz w:val="23"/>
          <w:szCs w:val="23"/>
        </w:rPr>
      </w:pPr>
      <w:r w:rsidRPr="00CB4802">
        <w:rPr>
          <w:sz w:val="23"/>
          <w:szCs w:val="23"/>
        </w:rPr>
        <w:t xml:space="preserve">Interrogée si Louis n’avait point d’armes, a dit qu’il avait un fusil qu’il avait porté chez le commandeur de la Dame Mandeville, et qu’on l’avait porté chez Monsieur de La </w:t>
      </w:r>
      <w:proofErr w:type="spellStart"/>
      <w:r w:rsidRPr="00CB4802">
        <w:rPr>
          <w:sz w:val="23"/>
          <w:szCs w:val="23"/>
        </w:rPr>
        <w:t>Frenière</w:t>
      </w:r>
      <w:proofErr w:type="spellEnd"/>
      <w:r w:rsidRPr="00CB4802">
        <w:rPr>
          <w:sz w:val="23"/>
          <w:szCs w:val="23"/>
        </w:rPr>
        <w:t xml:space="preserve">. </w:t>
      </w:r>
    </w:p>
    <w:p w14:paraId="44B302C5" w14:textId="77777777" w:rsidR="00F9404A" w:rsidRPr="00CB4802" w:rsidRDefault="00F9404A" w:rsidP="005F5759">
      <w:pPr>
        <w:rPr>
          <w:sz w:val="23"/>
          <w:szCs w:val="23"/>
        </w:rPr>
      </w:pPr>
      <w:r w:rsidRPr="00CB4802">
        <w:rPr>
          <w:sz w:val="23"/>
          <w:szCs w:val="23"/>
        </w:rPr>
        <w:t xml:space="preserve">Interrogée si elle n’a aucune autre connaissance au sujet de Louis, a dit qu’elle ne se souvient d’autre chose. Lecture à elle faite du présent interrogatoire, a dit ses réponses contenir vérité, y a persisté et n’a su signer. </w:t>
      </w:r>
    </w:p>
    <w:p w14:paraId="227E19C8" w14:textId="77777777" w:rsidR="00BE326B" w:rsidRPr="00F9404A" w:rsidRDefault="00F9404A" w:rsidP="00F9404A">
      <w:pPr>
        <w:pStyle w:val="Sansinterligne"/>
        <w:jc w:val="right"/>
        <w:rPr>
          <w:b w:val="0"/>
          <w:sz w:val="20"/>
        </w:rPr>
      </w:pPr>
      <w:r w:rsidRPr="00F9404A">
        <w:rPr>
          <w:b w:val="0"/>
          <w:sz w:val="20"/>
        </w:rPr>
        <w:t xml:space="preserve">Interrogatoires d’esclaves, La Nouvelle-Orléans, sept. 1764, </w:t>
      </w:r>
      <w:r w:rsidRPr="00F9404A">
        <w:rPr>
          <w:b w:val="0"/>
          <w:sz w:val="20"/>
        </w:rPr>
        <w:br/>
        <w:t xml:space="preserve">éditée dans Dominique </w:t>
      </w:r>
      <w:r w:rsidRPr="00F9404A">
        <w:rPr>
          <w:b w:val="0"/>
          <w:smallCaps/>
          <w:sz w:val="20"/>
        </w:rPr>
        <w:t>Rogers</w:t>
      </w:r>
      <w:r w:rsidRPr="00F9404A">
        <w:rPr>
          <w:b w:val="0"/>
          <w:sz w:val="20"/>
        </w:rPr>
        <w:t xml:space="preserve"> (dir.), </w:t>
      </w:r>
      <w:r w:rsidRPr="00F9404A">
        <w:rPr>
          <w:b w:val="0"/>
          <w:i/>
          <w:sz w:val="20"/>
        </w:rPr>
        <w:t xml:space="preserve">Voix d’esclaves. </w:t>
      </w:r>
      <w:r w:rsidRPr="00F9404A">
        <w:rPr>
          <w:b w:val="0"/>
          <w:i/>
          <w:sz w:val="20"/>
        </w:rPr>
        <w:br/>
        <w:t>Antilles, Guyane et Louisiane françaises (XVIIIe – XIXe siècle)</w:t>
      </w:r>
      <w:r w:rsidRPr="00F9404A">
        <w:rPr>
          <w:b w:val="0"/>
          <w:sz w:val="20"/>
        </w:rPr>
        <w:t xml:space="preserve">, Paris, </w:t>
      </w:r>
      <w:proofErr w:type="spellStart"/>
      <w:r w:rsidRPr="00F9404A">
        <w:rPr>
          <w:b w:val="0"/>
          <w:sz w:val="20"/>
        </w:rPr>
        <w:t>Khartala</w:t>
      </w:r>
      <w:proofErr w:type="spellEnd"/>
      <w:r w:rsidRPr="00F9404A">
        <w:rPr>
          <w:b w:val="0"/>
          <w:sz w:val="20"/>
        </w:rPr>
        <w:t>, 2015, p. 61-66.</w:t>
      </w:r>
    </w:p>
    <w:p w14:paraId="5AAFDBCE" w14:textId="77777777" w:rsidR="00BE326B" w:rsidRDefault="00BE326B" w:rsidP="00475636">
      <w:pPr>
        <w:pStyle w:val="Sansinterligne"/>
      </w:pPr>
    </w:p>
    <w:p w14:paraId="279058FC" w14:textId="77777777" w:rsidR="008866C6" w:rsidRDefault="008866C6" w:rsidP="00475636">
      <w:pPr>
        <w:pStyle w:val="Sansinterligne"/>
      </w:pPr>
      <w:r>
        <w:br w:type="page"/>
      </w:r>
    </w:p>
    <w:p w14:paraId="67B28BA5" w14:textId="77777777" w:rsidR="00475636" w:rsidRDefault="00475636" w:rsidP="00475636">
      <w:pPr>
        <w:pStyle w:val="Sansinterligne"/>
      </w:pPr>
      <w:r>
        <w:lastRenderedPageBreak/>
        <w:t xml:space="preserve">Bibliographie indicative </w:t>
      </w:r>
    </w:p>
    <w:p w14:paraId="47A41973" w14:textId="77777777" w:rsidR="004843E1" w:rsidRPr="006370D1" w:rsidRDefault="00271591" w:rsidP="00836BBC">
      <w:pPr>
        <w:pStyle w:val="Biblio"/>
        <w:rPr>
          <w:sz w:val="20"/>
          <w:lang w:eastAsia="fr-FR"/>
        </w:rPr>
      </w:pPr>
      <w:r w:rsidRPr="006370D1">
        <w:rPr>
          <w:smallCaps/>
          <w:sz w:val="20"/>
          <w:lang w:eastAsia="fr-FR"/>
        </w:rPr>
        <w:t>*</w:t>
      </w:r>
      <w:r w:rsidR="004843E1" w:rsidRPr="006370D1">
        <w:rPr>
          <w:smallCaps/>
          <w:sz w:val="20"/>
          <w:lang w:eastAsia="fr-FR"/>
        </w:rPr>
        <w:t>Havard</w:t>
      </w:r>
      <w:r w:rsidR="004843E1" w:rsidRPr="006370D1">
        <w:rPr>
          <w:sz w:val="20"/>
          <w:lang w:eastAsia="fr-FR"/>
        </w:rPr>
        <w:t xml:space="preserve">, Gilles, </w:t>
      </w:r>
      <w:r w:rsidR="004843E1" w:rsidRPr="006370D1">
        <w:rPr>
          <w:smallCaps/>
          <w:sz w:val="20"/>
          <w:lang w:eastAsia="fr-FR"/>
        </w:rPr>
        <w:t>Vidal</w:t>
      </w:r>
      <w:r w:rsidR="004843E1" w:rsidRPr="006370D1">
        <w:rPr>
          <w:sz w:val="20"/>
          <w:lang w:eastAsia="fr-FR"/>
        </w:rPr>
        <w:t xml:space="preserve">, Cécile, </w:t>
      </w:r>
      <w:r w:rsidR="004843E1" w:rsidRPr="006370D1">
        <w:rPr>
          <w:i/>
          <w:sz w:val="20"/>
          <w:lang w:eastAsia="fr-FR"/>
        </w:rPr>
        <w:t>Histoire de l’Amérique française</w:t>
      </w:r>
      <w:r w:rsidR="004843E1" w:rsidRPr="006370D1">
        <w:rPr>
          <w:sz w:val="20"/>
          <w:lang w:eastAsia="fr-FR"/>
        </w:rPr>
        <w:t xml:space="preserve">, Paris, Flammarion, 2002. </w:t>
      </w:r>
    </w:p>
    <w:p w14:paraId="7D7128D1" w14:textId="77777777" w:rsidR="004843E1" w:rsidRPr="006370D1" w:rsidRDefault="004843E1" w:rsidP="00836BBC">
      <w:pPr>
        <w:pStyle w:val="Biblio"/>
        <w:rPr>
          <w:sz w:val="20"/>
          <w:lang w:eastAsia="fr-FR"/>
        </w:rPr>
      </w:pPr>
      <w:r w:rsidRPr="006370D1">
        <w:rPr>
          <w:smallCaps/>
          <w:sz w:val="20"/>
          <w:lang w:eastAsia="fr-FR"/>
        </w:rPr>
        <w:t>*</w:t>
      </w:r>
      <w:r w:rsidR="005668F1" w:rsidRPr="006370D1">
        <w:rPr>
          <w:smallCaps/>
          <w:sz w:val="20"/>
          <w:lang w:eastAsia="fr-FR"/>
        </w:rPr>
        <w:t>*</w:t>
      </w:r>
      <w:proofErr w:type="spellStart"/>
      <w:r w:rsidRPr="006370D1">
        <w:rPr>
          <w:smallCaps/>
          <w:sz w:val="20"/>
          <w:lang w:eastAsia="fr-FR"/>
        </w:rPr>
        <w:t>Ismard</w:t>
      </w:r>
      <w:proofErr w:type="spellEnd"/>
      <w:r w:rsidRPr="006370D1">
        <w:rPr>
          <w:sz w:val="20"/>
          <w:lang w:eastAsia="fr-FR"/>
        </w:rPr>
        <w:t xml:space="preserve">, Paulin (dir.), </w:t>
      </w:r>
      <w:r w:rsidRPr="006370D1">
        <w:rPr>
          <w:i/>
          <w:sz w:val="20"/>
          <w:lang w:eastAsia="fr-FR"/>
        </w:rPr>
        <w:t>Les mondes de l’esclavage. Une histoire comparée</w:t>
      </w:r>
      <w:r w:rsidRPr="006370D1">
        <w:rPr>
          <w:sz w:val="20"/>
          <w:lang w:eastAsia="fr-FR"/>
        </w:rPr>
        <w:t>, Paris, Seuil, 2021.</w:t>
      </w:r>
    </w:p>
    <w:p w14:paraId="7937C42C" w14:textId="77777777" w:rsidR="004843E1" w:rsidRPr="006370D1" w:rsidRDefault="00271591" w:rsidP="00834E38">
      <w:pPr>
        <w:pStyle w:val="Biblio"/>
        <w:rPr>
          <w:sz w:val="20"/>
          <w:lang w:eastAsia="fr-FR"/>
        </w:rPr>
      </w:pPr>
      <w:r w:rsidRPr="006370D1">
        <w:rPr>
          <w:smallCaps/>
          <w:sz w:val="20"/>
          <w:lang w:eastAsia="fr-FR"/>
        </w:rPr>
        <w:t>*</w:t>
      </w:r>
      <w:r w:rsidR="004843E1" w:rsidRPr="006370D1">
        <w:rPr>
          <w:smallCaps/>
          <w:sz w:val="20"/>
          <w:lang w:eastAsia="fr-FR"/>
        </w:rPr>
        <w:t>Pétré-</w:t>
      </w:r>
      <w:proofErr w:type="spellStart"/>
      <w:r w:rsidR="004843E1" w:rsidRPr="006370D1">
        <w:rPr>
          <w:smallCaps/>
          <w:sz w:val="20"/>
          <w:lang w:eastAsia="fr-FR"/>
        </w:rPr>
        <w:t>Grenouilleau</w:t>
      </w:r>
      <w:proofErr w:type="spellEnd"/>
      <w:r w:rsidR="004843E1" w:rsidRPr="006370D1">
        <w:rPr>
          <w:sz w:val="20"/>
          <w:lang w:eastAsia="fr-FR"/>
        </w:rPr>
        <w:t xml:space="preserve">, Olivier (dir.), </w:t>
      </w:r>
      <w:r w:rsidR="004843E1" w:rsidRPr="006370D1">
        <w:rPr>
          <w:i/>
          <w:sz w:val="20"/>
          <w:lang w:eastAsia="fr-FR"/>
        </w:rPr>
        <w:t>Dictionnaire des esclavages</w:t>
      </w:r>
      <w:r w:rsidR="004843E1" w:rsidRPr="006370D1">
        <w:rPr>
          <w:sz w:val="20"/>
          <w:lang w:eastAsia="fr-FR"/>
        </w:rPr>
        <w:t xml:space="preserve">, Paris, Larousse, 2010. </w:t>
      </w:r>
    </w:p>
    <w:p w14:paraId="6B6DBBB3" w14:textId="77777777" w:rsidR="00D61E1C" w:rsidRPr="006370D1" w:rsidRDefault="00D61E1C" w:rsidP="00834E38">
      <w:pPr>
        <w:pStyle w:val="Biblio"/>
        <w:rPr>
          <w:sz w:val="20"/>
          <w:lang w:eastAsia="fr-FR"/>
        </w:rPr>
      </w:pPr>
      <w:r w:rsidRPr="006370D1">
        <w:rPr>
          <w:smallCaps/>
          <w:sz w:val="20"/>
          <w:lang w:eastAsia="fr-FR"/>
        </w:rPr>
        <w:t xml:space="preserve">Seck, </w:t>
      </w:r>
      <w:r w:rsidRPr="006370D1">
        <w:rPr>
          <w:sz w:val="20"/>
          <w:lang w:eastAsia="fr-FR"/>
        </w:rPr>
        <w:t xml:space="preserve">Ibrahima, « Le marronnage en Louisiane », dans </w:t>
      </w:r>
      <w:r w:rsidRPr="006370D1">
        <w:rPr>
          <w:i/>
          <w:sz w:val="20"/>
          <w:lang w:eastAsia="fr-FR"/>
        </w:rPr>
        <w:t>Sociétés marronnes des Amériques. Mémoires, patrimoines, identités et histoire du XVIIe au XXe siècles</w:t>
      </w:r>
      <w:r w:rsidRPr="006370D1">
        <w:rPr>
          <w:sz w:val="20"/>
          <w:lang w:eastAsia="fr-FR"/>
        </w:rPr>
        <w:t xml:space="preserve">, Matoury (Guyane), Ibis Rouge Éditions, 2015, p. 167-182. </w:t>
      </w:r>
    </w:p>
    <w:p w14:paraId="6BC6BBA2" w14:textId="77777777" w:rsidR="004843E1" w:rsidRPr="006370D1" w:rsidRDefault="004843E1" w:rsidP="00834E38">
      <w:pPr>
        <w:pStyle w:val="Biblio"/>
        <w:rPr>
          <w:sz w:val="20"/>
          <w:lang w:val="en-US" w:eastAsia="fr-FR"/>
        </w:rPr>
      </w:pPr>
      <w:r w:rsidRPr="006370D1">
        <w:rPr>
          <w:smallCaps/>
          <w:sz w:val="20"/>
          <w:lang w:val="en-US" w:eastAsia="fr-FR"/>
        </w:rPr>
        <w:t>Vidal</w:t>
      </w:r>
      <w:r w:rsidRPr="006370D1">
        <w:rPr>
          <w:sz w:val="20"/>
          <w:lang w:val="en-US" w:eastAsia="fr-FR"/>
        </w:rPr>
        <w:t xml:space="preserve">, Cécile, « The Streets, the Barracks and the Hospital: Public Space, Social Control and Cross-Racial Interactions among Soldiers and Slaves in French New Orleans », dans Emily </w:t>
      </w:r>
      <w:r w:rsidRPr="00980BB9">
        <w:rPr>
          <w:smallCaps/>
          <w:sz w:val="20"/>
          <w:lang w:val="en-US" w:eastAsia="fr-FR"/>
        </w:rPr>
        <w:t>Clark</w:t>
      </w:r>
      <w:r w:rsidRPr="006370D1">
        <w:rPr>
          <w:sz w:val="20"/>
          <w:lang w:val="en-US" w:eastAsia="fr-FR"/>
        </w:rPr>
        <w:t xml:space="preserve">, Ibrahima </w:t>
      </w:r>
      <w:r w:rsidRPr="00980BB9">
        <w:rPr>
          <w:smallCaps/>
          <w:sz w:val="20"/>
          <w:lang w:val="en-US" w:eastAsia="fr-FR"/>
        </w:rPr>
        <w:t>Thioub</w:t>
      </w:r>
      <w:r w:rsidRPr="006370D1">
        <w:rPr>
          <w:sz w:val="20"/>
          <w:lang w:val="en-US" w:eastAsia="fr-FR"/>
        </w:rPr>
        <w:t xml:space="preserve"> et Cécile </w:t>
      </w:r>
      <w:r w:rsidRPr="00980BB9">
        <w:rPr>
          <w:smallCaps/>
          <w:sz w:val="20"/>
          <w:lang w:val="en-US" w:eastAsia="fr-FR"/>
        </w:rPr>
        <w:t>Vidal</w:t>
      </w:r>
      <w:r w:rsidRPr="006370D1">
        <w:rPr>
          <w:sz w:val="20"/>
          <w:lang w:val="en-US" w:eastAsia="fr-FR"/>
        </w:rPr>
        <w:t xml:space="preserve"> (dir.), </w:t>
      </w:r>
      <w:r w:rsidRPr="006370D1">
        <w:rPr>
          <w:i/>
          <w:sz w:val="20"/>
          <w:lang w:val="en-US" w:eastAsia="fr-FR"/>
        </w:rPr>
        <w:t>New Orleans, Louisiana &amp; Saint-Louis, Senegal. Mirror Cities in the Atlantic World, 1659-2000s</w:t>
      </w:r>
      <w:r w:rsidRPr="006370D1">
        <w:rPr>
          <w:sz w:val="20"/>
          <w:lang w:val="en-US" w:eastAsia="fr-FR"/>
        </w:rPr>
        <w:t>, Baton Rouge, Louisiana State University Press, 2019, p. 75-102.</w:t>
      </w:r>
    </w:p>
    <w:p w14:paraId="42192E90" w14:textId="77777777" w:rsidR="004843E1" w:rsidRDefault="004843E1" w:rsidP="00834E38">
      <w:pPr>
        <w:pStyle w:val="Biblio"/>
        <w:rPr>
          <w:sz w:val="20"/>
          <w:lang w:val="en-US" w:eastAsia="fr-FR"/>
        </w:rPr>
      </w:pPr>
      <w:r w:rsidRPr="006370D1">
        <w:rPr>
          <w:smallCaps/>
          <w:sz w:val="20"/>
          <w:lang w:val="en-US" w:eastAsia="fr-FR"/>
        </w:rPr>
        <w:t>Vidal</w:t>
      </w:r>
      <w:r w:rsidRPr="006370D1">
        <w:rPr>
          <w:sz w:val="20"/>
          <w:lang w:val="en-US" w:eastAsia="fr-FR"/>
        </w:rPr>
        <w:t xml:space="preserve">, Cécile, </w:t>
      </w:r>
      <w:r w:rsidRPr="006370D1">
        <w:rPr>
          <w:i/>
          <w:sz w:val="20"/>
          <w:lang w:val="en-US" w:eastAsia="fr-FR"/>
        </w:rPr>
        <w:t>Caribbean New Orleans. Empire, Race and the Making of a Slave Society</w:t>
      </w:r>
      <w:r w:rsidRPr="006370D1">
        <w:rPr>
          <w:sz w:val="20"/>
          <w:lang w:val="en-US" w:eastAsia="fr-FR"/>
        </w:rPr>
        <w:t>, Chapel Hill, University of North Carolina Press, 2019.</w:t>
      </w:r>
    </w:p>
    <w:p w14:paraId="5B1C15C4" w14:textId="77777777" w:rsidR="006370D1" w:rsidRPr="006370D1" w:rsidRDefault="006370D1" w:rsidP="00834E38">
      <w:pPr>
        <w:pStyle w:val="Biblio"/>
        <w:rPr>
          <w:sz w:val="20"/>
          <w:lang w:val="en-US" w:eastAsia="fr-FR"/>
        </w:rPr>
      </w:pPr>
      <w:r w:rsidRPr="006370D1">
        <w:rPr>
          <w:smallCaps/>
          <w:sz w:val="20"/>
          <w:lang w:val="en-US" w:eastAsia="fr-FR"/>
        </w:rPr>
        <w:t>White</w:t>
      </w:r>
      <w:r w:rsidRPr="006370D1">
        <w:rPr>
          <w:sz w:val="20"/>
          <w:lang w:val="en-US" w:eastAsia="fr-FR"/>
        </w:rPr>
        <w:t>, Sophie, « Slaves and Poor White</w:t>
      </w:r>
      <w:r>
        <w:rPr>
          <w:sz w:val="20"/>
          <w:lang w:val="en-US" w:eastAsia="fr-FR"/>
        </w:rPr>
        <w:t>s’ Informal Economies in an Atlantic Context</w:t>
      </w:r>
      <w:r w:rsidRPr="006370D1">
        <w:rPr>
          <w:sz w:val="20"/>
          <w:lang w:val="en-US" w:eastAsia="fr-FR"/>
        </w:rPr>
        <w:t xml:space="preserve"> », dans Cécile </w:t>
      </w:r>
      <w:r w:rsidRPr="006370D1">
        <w:rPr>
          <w:smallCaps/>
          <w:sz w:val="20"/>
          <w:lang w:val="en-US" w:eastAsia="fr-FR"/>
        </w:rPr>
        <w:t>Vidal</w:t>
      </w:r>
      <w:r w:rsidRPr="006370D1">
        <w:rPr>
          <w:sz w:val="20"/>
          <w:lang w:val="en-US" w:eastAsia="fr-FR"/>
        </w:rPr>
        <w:t xml:space="preserve"> (dir.), </w:t>
      </w:r>
      <w:r>
        <w:rPr>
          <w:i/>
          <w:sz w:val="20"/>
          <w:lang w:val="en-US" w:eastAsia="fr-FR"/>
        </w:rPr>
        <w:t>Louisiana. Crossroads of the Atlantic World</w:t>
      </w:r>
      <w:r>
        <w:rPr>
          <w:sz w:val="20"/>
          <w:lang w:val="en-US" w:eastAsia="fr-FR"/>
        </w:rPr>
        <w:t xml:space="preserve">, </w:t>
      </w:r>
      <w:proofErr w:type="spellStart"/>
      <w:r>
        <w:rPr>
          <w:sz w:val="20"/>
          <w:lang w:val="en-US" w:eastAsia="fr-FR"/>
        </w:rPr>
        <w:t>Philadelphie</w:t>
      </w:r>
      <w:proofErr w:type="spellEnd"/>
      <w:r>
        <w:rPr>
          <w:sz w:val="20"/>
          <w:lang w:val="en-US" w:eastAsia="fr-FR"/>
        </w:rPr>
        <w:t xml:space="preserve">, University of Pennsylvania Press, 2014, p. 89-102. </w:t>
      </w:r>
    </w:p>
    <w:p w14:paraId="5F7BD6AB" w14:textId="77777777" w:rsidR="00836BBC" w:rsidRPr="006370D1" w:rsidRDefault="00475636" w:rsidP="00DF40F4">
      <w:pPr>
        <w:pStyle w:val="Sansinterligne"/>
        <w:rPr>
          <w:lang w:val="en-US"/>
        </w:rPr>
      </w:pPr>
      <w:r w:rsidRPr="006370D1">
        <w:rPr>
          <w:lang w:val="en-US"/>
        </w:rPr>
        <w:t>Annexes</w:t>
      </w:r>
      <w:r w:rsidR="00836BBC" w:rsidRPr="006370D1">
        <w:rPr>
          <w:lang w:val="en-US"/>
        </w:rPr>
        <w:t xml:space="preserve"> </w:t>
      </w:r>
    </w:p>
    <w:p w14:paraId="2CE74F7D" w14:textId="77777777" w:rsidR="00475636" w:rsidRDefault="00475636" w:rsidP="00475636">
      <w:pPr>
        <w:pStyle w:val="Sansinterligne"/>
      </w:pPr>
      <w:r>
        <w:t xml:space="preserve">1. </w:t>
      </w:r>
      <w:r w:rsidR="006E05D3">
        <w:t xml:space="preserve">Les femmes-esclaves et la résistance à l’esclavage </w:t>
      </w:r>
    </w:p>
    <w:p w14:paraId="40E1416E" w14:textId="77777777" w:rsidR="00475636" w:rsidRDefault="00475636" w:rsidP="00475636">
      <w:pPr>
        <w:rPr>
          <w:lang w:eastAsia="fr-FR"/>
        </w:rPr>
      </w:pPr>
      <w:r w:rsidRPr="00475636">
        <w:rPr>
          <w:lang w:eastAsia="fr-FR"/>
        </w:rPr>
        <w:t xml:space="preserve">En 1764, deux esclaves nommés Louis et </w:t>
      </w:r>
      <w:proofErr w:type="spellStart"/>
      <w:r w:rsidRPr="00475636">
        <w:rPr>
          <w:lang w:eastAsia="fr-FR"/>
        </w:rPr>
        <w:t>Cézar</w:t>
      </w:r>
      <w:proofErr w:type="spellEnd"/>
      <w:r w:rsidRPr="00475636">
        <w:rPr>
          <w:lang w:eastAsia="fr-FR"/>
        </w:rPr>
        <w:t xml:space="preserve"> furent arrêtés et jugés séparément pour marronnage et pour de nombreux vols commis ensemble </w:t>
      </w:r>
      <w:r>
        <w:rPr>
          <w:lang w:eastAsia="fr-FR"/>
        </w:rPr>
        <w:t>à</w:t>
      </w:r>
      <w:r w:rsidRPr="00475636">
        <w:rPr>
          <w:lang w:eastAsia="fr-FR"/>
        </w:rPr>
        <w:t xml:space="preserve"> La Nouvelle-Orléans ou dans les environs de la ville. Parce que le juge charg</w:t>
      </w:r>
      <w:r>
        <w:rPr>
          <w:lang w:eastAsia="fr-FR"/>
        </w:rPr>
        <w:t>é</w:t>
      </w:r>
      <w:r w:rsidRPr="00475636">
        <w:rPr>
          <w:lang w:eastAsia="fr-FR"/>
        </w:rPr>
        <w:t xml:space="preserve"> du procès de Louis était </w:t>
      </w:r>
      <w:r>
        <w:rPr>
          <w:lang w:eastAsia="fr-FR"/>
        </w:rPr>
        <w:t xml:space="preserve">à </w:t>
      </w:r>
      <w:r w:rsidRPr="00475636">
        <w:rPr>
          <w:lang w:eastAsia="fr-FR"/>
        </w:rPr>
        <w:t xml:space="preserve">la recherche d’éventuels complices, il interrogea deux femmes esclaves nommées </w:t>
      </w:r>
      <w:proofErr w:type="spellStart"/>
      <w:r w:rsidRPr="00475636">
        <w:rPr>
          <w:lang w:eastAsia="fr-FR"/>
        </w:rPr>
        <w:t>Comba</w:t>
      </w:r>
      <w:proofErr w:type="spellEnd"/>
      <w:r w:rsidRPr="00475636">
        <w:rPr>
          <w:lang w:eastAsia="fr-FR"/>
        </w:rPr>
        <w:t xml:space="preserve"> et Louison. Dans leurs interrogatoires, celles-ci tentèrent de se disculper de toute accusation d’avoir donné refuge </w:t>
      </w:r>
      <w:r>
        <w:rPr>
          <w:lang w:eastAsia="fr-FR"/>
        </w:rPr>
        <w:t>à</w:t>
      </w:r>
      <w:r w:rsidRPr="00475636">
        <w:rPr>
          <w:lang w:eastAsia="fr-FR"/>
        </w:rPr>
        <w:t xml:space="preserve"> un esclave en fuite, d’avoir organisé et particip</w:t>
      </w:r>
      <w:r>
        <w:rPr>
          <w:lang w:eastAsia="fr-FR"/>
        </w:rPr>
        <w:t>é</w:t>
      </w:r>
      <w:r w:rsidRPr="00475636">
        <w:rPr>
          <w:lang w:eastAsia="fr-FR"/>
        </w:rPr>
        <w:t xml:space="preserve"> </w:t>
      </w:r>
      <w:r>
        <w:rPr>
          <w:lang w:eastAsia="fr-FR"/>
        </w:rPr>
        <w:t>à</w:t>
      </w:r>
      <w:r w:rsidRPr="00475636">
        <w:rPr>
          <w:lang w:eastAsia="fr-FR"/>
        </w:rPr>
        <w:t xml:space="preserve"> des assemblées d’esclaves sans autorisation de leurs maîtres, d’avoir volé de la nourriture ou encore d’avoir recelé de l’argent ou des biens volés, autant de crimes pour lesquels le Code Noir promulgu</w:t>
      </w:r>
      <w:r>
        <w:rPr>
          <w:lang w:eastAsia="fr-FR"/>
        </w:rPr>
        <w:t>é</w:t>
      </w:r>
      <w:r w:rsidRPr="00475636">
        <w:rPr>
          <w:lang w:eastAsia="fr-FR"/>
        </w:rPr>
        <w:t xml:space="preserve"> en Louisiane en 1724 prévoyait des peines sévères. Ce faisant, elles révélaient </w:t>
      </w:r>
      <w:r>
        <w:rPr>
          <w:lang w:eastAsia="fr-FR"/>
        </w:rPr>
        <w:t>à</w:t>
      </w:r>
      <w:r w:rsidRPr="00475636">
        <w:rPr>
          <w:lang w:eastAsia="fr-FR"/>
        </w:rPr>
        <w:t xml:space="preserve"> quel point les femmes constituaient les piliers de la communauté servile de La Nouvelle-Orléans. C’est autour d’elles que s’organisait toute une sociabilité plus ou moins clandestine, selon parfois des affinités ethniques. Cette sociabilité réunissait tant les esclaves de la ville que les esclaves en fuite venus s’y cacher. Ces derniers subsistaient en participant </w:t>
      </w:r>
      <w:r>
        <w:rPr>
          <w:lang w:eastAsia="fr-FR"/>
        </w:rPr>
        <w:t>à</w:t>
      </w:r>
      <w:r w:rsidRPr="00475636">
        <w:rPr>
          <w:lang w:eastAsia="fr-FR"/>
        </w:rPr>
        <w:t xml:space="preserve"> une économie parallèle alimentée par les </w:t>
      </w:r>
      <w:r w:rsidRPr="004843E1">
        <w:rPr>
          <w:lang w:eastAsia="fr-FR"/>
        </w:rPr>
        <w:t xml:space="preserve">vols de bestiaux, de vêtements et de linge au détriment des colons blancs mais aussi d’autres esclaves. Le Conseil Supérieur reconnut </w:t>
      </w:r>
      <w:proofErr w:type="spellStart"/>
      <w:r w:rsidRPr="004843E1">
        <w:rPr>
          <w:lang w:eastAsia="fr-FR"/>
        </w:rPr>
        <w:t>Comba</w:t>
      </w:r>
      <w:proofErr w:type="spellEnd"/>
      <w:r w:rsidRPr="004843E1">
        <w:rPr>
          <w:lang w:eastAsia="fr-FR"/>
        </w:rPr>
        <w:t xml:space="preserve"> et Louison coupables d’avoir donné l’hospitalité à Louis alors qu’il était marron. </w:t>
      </w:r>
      <w:r w:rsidR="004843E1" w:rsidRPr="004843E1">
        <w:rPr>
          <w:rFonts w:cs="Times New Roman"/>
          <w:lang w:eastAsia="fr-FR"/>
        </w:rPr>
        <w:t>[…]</w:t>
      </w:r>
      <w:r w:rsidRPr="004843E1">
        <w:rPr>
          <w:lang w:eastAsia="fr-FR"/>
        </w:rPr>
        <w:t>.</w:t>
      </w:r>
      <w:r w:rsidRPr="00475636">
        <w:rPr>
          <w:lang w:eastAsia="fr-FR"/>
        </w:rPr>
        <w:t xml:space="preserve"> </w:t>
      </w:r>
    </w:p>
    <w:p w14:paraId="1C97FCB1" w14:textId="77777777" w:rsidR="00475636" w:rsidRDefault="00475636" w:rsidP="00475636">
      <w:pPr>
        <w:jc w:val="right"/>
        <w:rPr>
          <w:sz w:val="20"/>
          <w:lang w:eastAsia="fr-FR"/>
        </w:rPr>
      </w:pPr>
      <w:r w:rsidRPr="00475636">
        <w:rPr>
          <w:sz w:val="20"/>
          <w:lang w:eastAsia="fr-FR"/>
        </w:rPr>
        <w:t xml:space="preserve">Cécile </w:t>
      </w:r>
      <w:r w:rsidRPr="00475636">
        <w:rPr>
          <w:smallCaps/>
          <w:sz w:val="20"/>
          <w:lang w:eastAsia="fr-FR"/>
        </w:rPr>
        <w:t>Vidal</w:t>
      </w:r>
      <w:r w:rsidRPr="00475636">
        <w:rPr>
          <w:sz w:val="20"/>
          <w:lang w:eastAsia="fr-FR"/>
        </w:rPr>
        <w:t xml:space="preserve">, </w:t>
      </w:r>
      <w:r w:rsidR="008F425F">
        <w:rPr>
          <w:sz w:val="20"/>
          <w:lang w:eastAsia="fr-FR"/>
        </w:rPr>
        <w:t xml:space="preserve">« </w:t>
      </w:r>
      <w:r w:rsidR="00834E38">
        <w:rPr>
          <w:sz w:val="20"/>
          <w:lang w:eastAsia="fr-FR"/>
        </w:rPr>
        <w:t>Marronnage</w:t>
      </w:r>
      <w:r w:rsidR="008F425F">
        <w:rPr>
          <w:sz w:val="20"/>
          <w:lang w:eastAsia="fr-FR"/>
        </w:rPr>
        <w:t xml:space="preserve"> et sociabilité », </w:t>
      </w:r>
      <w:r w:rsidRPr="00475636">
        <w:rPr>
          <w:sz w:val="20"/>
          <w:lang w:eastAsia="fr-FR"/>
        </w:rPr>
        <w:t xml:space="preserve">dans </w:t>
      </w:r>
      <w:r w:rsidR="00834E38">
        <w:rPr>
          <w:sz w:val="20"/>
          <w:lang w:eastAsia="fr-FR"/>
        </w:rPr>
        <w:t>D.</w:t>
      </w:r>
      <w:r w:rsidR="008F425F">
        <w:rPr>
          <w:sz w:val="20"/>
          <w:lang w:eastAsia="fr-FR"/>
        </w:rPr>
        <w:t xml:space="preserve"> Rogers (dir.), </w:t>
      </w:r>
      <w:r w:rsidRPr="00475636">
        <w:rPr>
          <w:i/>
          <w:sz w:val="20"/>
          <w:lang w:eastAsia="fr-FR"/>
        </w:rPr>
        <w:t>Voix d’esclaves</w:t>
      </w:r>
      <w:r w:rsidR="00834E38">
        <w:rPr>
          <w:i/>
          <w:sz w:val="20"/>
          <w:lang w:eastAsia="fr-FR"/>
        </w:rPr>
        <w:t xml:space="preserve">…, op. </w:t>
      </w:r>
      <w:proofErr w:type="spellStart"/>
      <w:proofErr w:type="gramStart"/>
      <w:r w:rsidR="00834E38">
        <w:rPr>
          <w:i/>
          <w:sz w:val="20"/>
          <w:lang w:eastAsia="fr-FR"/>
        </w:rPr>
        <w:t>cit</w:t>
      </w:r>
      <w:proofErr w:type="spellEnd"/>
      <w:proofErr w:type="gramEnd"/>
      <w:r w:rsidR="00834E38">
        <w:rPr>
          <w:i/>
          <w:sz w:val="20"/>
          <w:lang w:eastAsia="fr-FR"/>
        </w:rPr>
        <w:t>.</w:t>
      </w:r>
      <w:r w:rsidR="00B42B91">
        <w:rPr>
          <w:sz w:val="20"/>
          <w:lang w:eastAsia="fr-FR"/>
        </w:rPr>
        <w:t xml:space="preserve">, </w:t>
      </w:r>
      <w:r w:rsidRPr="00475636">
        <w:rPr>
          <w:sz w:val="20"/>
          <w:lang w:eastAsia="fr-FR"/>
        </w:rPr>
        <w:t xml:space="preserve">p. 61. </w:t>
      </w:r>
    </w:p>
    <w:p w14:paraId="0DC5E314" w14:textId="77777777" w:rsidR="006E05D3" w:rsidRDefault="006E05D3" w:rsidP="006E05D3">
      <w:pPr>
        <w:rPr>
          <w:lang w:eastAsia="fr-FR"/>
        </w:rPr>
      </w:pPr>
      <w:r w:rsidRPr="008F425F">
        <w:rPr>
          <w:lang w:eastAsia="fr-FR"/>
        </w:rPr>
        <w:t>Les femmes esclaves ne restaient pas passives face à la violence physique, verbale et symbolique dont elles étaient l’objet. L’importance et les formes particulières prises par leur résistance sont un autre sujet de débat historiographique. Partout aux Amériques elles avaient, en effet, moins tendance à s’enfuir que les hommes et jouaient un rôle moindre dans les révoltes, certainement parce qu’elles étaient en charge des enfants</w:t>
      </w:r>
      <w:r w:rsidR="008F425F">
        <w:rPr>
          <w:lang w:eastAsia="fr-FR"/>
        </w:rPr>
        <w:t xml:space="preserve">. </w:t>
      </w:r>
      <w:r w:rsidR="008F425F" w:rsidRPr="008F425F">
        <w:rPr>
          <w:lang w:eastAsia="fr-FR"/>
        </w:rPr>
        <w:t>Elles avaient aussi la possibilité d’améliorer leur sort et d’obtenir leur liberté et celle de leur progéniture en entretenant des relations sexuelles avec des hommes blancs</w:t>
      </w:r>
      <w:r w:rsidR="008F425F">
        <w:rPr>
          <w:lang w:eastAsia="fr-FR"/>
        </w:rPr>
        <w:t xml:space="preserve">. </w:t>
      </w:r>
      <w:r w:rsidR="008F425F" w:rsidRPr="008F425F">
        <w:rPr>
          <w:lang w:eastAsia="fr-FR"/>
        </w:rPr>
        <w:t>Résistance et accommodement sont, de la sorte, difficilement distinguables. Pour aller à revers de cette image de moins grandes « résistantes », d’autres historiens soutiennent qu’elles n’étaient pas moins rebelles, mais que leurs modes de contestation relevaient davantage de la petite résistance au quotidien (petit marron</w:t>
      </w:r>
      <w:r w:rsidR="008F425F">
        <w:rPr>
          <w:lang w:eastAsia="fr-FR"/>
        </w:rPr>
        <w:t>n</w:t>
      </w:r>
      <w:r w:rsidR="008F425F" w:rsidRPr="008F425F">
        <w:rPr>
          <w:lang w:eastAsia="fr-FR"/>
        </w:rPr>
        <w:t>age ; ralentissement du travail) si l’on excepte les refus de concevoir, avortement et infanticide</w:t>
      </w:r>
      <w:r w:rsidR="008F425F">
        <w:rPr>
          <w:lang w:eastAsia="fr-FR"/>
        </w:rPr>
        <w:t xml:space="preserve">. </w:t>
      </w:r>
    </w:p>
    <w:p w14:paraId="7BA52265" w14:textId="77777777" w:rsidR="004843E1" w:rsidRPr="004843E1" w:rsidRDefault="008F425F" w:rsidP="004843E1">
      <w:pPr>
        <w:jc w:val="right"/>
        <w:rPr>
          <w:sz w:val="20"/>
          <w:lang w:eastAsia="fr-FR"/>
        </w:rPr>
      </w:pPr>
      <w:r w:rsidRPr="00836BBC">
        <w:rPr>
          <w:sz w:val="20"/>
          <w:lang w:eastAsia="fr-FR"/>
        </w:rPr>
        <w:t xml:space="preserve">Cécile </w:t>
      </w:r>
      <w:r w:rsidRPr="00836BBC">
        <w:rPr>
          <w:smallCaps/>
          <w:sz w:val="20"/>
          <w:lang w:eastAsia="fr-FR"/>
        </w:rPr>
        <w:t>Vidal</w:t>
      </w:r>
      <w:r w:rsidRPr="00836BBC">
        <w:rPr>
          <w:sz w:val="20"/>
          <w:lang w:eastAsia="fr-FR"/>
        </w:rPr>
        <w:t xml:space="preserve">, « Femmes et genre dans les historiographies sur les sociétés avec esclavage », </w:t>
      </w:r>
      <w:r w:rsidR="00836BBC">
        <w:rPr>
          <w:sz w:val="20"/>
          <w:lang w:eastAsia="fr-FR"/>
        </w:rPr>
        <w:br/>
      </w:r>
      <w:r w:rsidRPr="00836BBC">
        <w:rPr>
          <w:i/>
          <w:sz w:val="20"/>
          <w:lang w:eastAsia="fr-FR"/>
        </w:rPr>
        <w:t>Clio. Femmes, genre, histoire</w:t>
      </w:r>
      <w:r w:rsidRPr="00836BBC">
        <w:rPr>
          <w:sz w:val="20"/>
          <w:lang w:eastAsia="fr-FR"/>
        </w:rPr>
        <w:t xml:space="preserve">, 2019, 50/2, p. 189-210, ici p. 197. </w:t>
      </w:r>
    </w:p>
    <w:p w14:paraId="09257C5F" w14:textId="77777777" w:rsidR="005668F1" w:rsidRDefault="005668F1">
      <w:pPr>
        <w:spacing w:before="0" w:after="0" w:line="240" w:lineRule="auto"/>
        <w:ind w:firstLine="0"/>
        <w:jc w:val="left"/>
        <w:rPr>
          <w:b/>
        </w:rPr>
      </w:pPr>
      <w:r>
        <w:br w:type="page"/>
      </w:r>
    </w:p>
    <w:p w14:paraId="7E210FC4" w14:textId="77777777" w:rsidR="0005208E" w:rsidRDefault="0005208E" w:rsidP="00475636">
      <w:pPr>
        <w:pStyle w:val="Sansinterligne"/>
      </w:pPr>
      <w:r>
        <w:lastRenderedPageBreak/>
        <w:t xml:space="preserve">2. Les esclaves et le système judiciaire </w:t>
      </w:r>
    </w:p>
    <w:p w14:paraId="5566C870" w14:textId="77777777" w:rsidR="0005208E" w:rsidRPr="0031225E" w:rsidRDefault="0031225E" w:rsidP="0005208E">
      <w:r w:rsidRPr="0031225E">
        <w:t xml:space="preserve">À l’instar des rébellions, les crimes pour lesquels les esclaves se retrouvaient le plus souvent devant les tribunaux correspondaient à des formes de résistance, dont les victimes étaient leurs maîtres ou des libres. La justice publique se préoccupait beaucoup plus rarement des vols, des attaques ou des meurtres d’esclaves par d’autres esclaves. Ces cimes-là étaient, en général, punis par la justice privée des maîtres ou, dans certaines situations, par celle ayant pu se développer au sein des communautés serviles. Dans les vastes plantations de la Grande Caraïbe, les commandeurs esclaves tiraient leur autorité du pouvoir de justice qui leur était reconnu par les autres esclaves. Ils pratiquaient l’ordalie comme dans de nombreuses sociétés africaines. Non seulement les esclaves, en particulier les hommes, devinrent la cible principale de la justice pénale dans de nombreuses sociétés esclavagistes, notamment dans les Amériques coloniales, mais, partout, ils étaient toujours punis plus sévèrement que les libres pour les mêmes crimes, que les châtiments fussent fixés par la loi ou que les juges eussent la possibilité de décider de la sentence en fonction des circonstances aggravantes ou atténuantes. </w:t>
      </w:r>
      <w:r w:rsidRPr="0031225E">
        <w:rPr>
          <w:rFonts w:cs="Times New Roman"/>
        </w:rPr>
        <w:t>[…] Dans les Amériques coloniales, les tentatives de réforme de l’esclavage à partir de la seconde moitié du XVIII</w:t>
      </w:r>
      <w:r w:rsidRPr="0031225E">
        <w:rPr>
          <w:rFonts w:cs="Times New Roman"/>
          <w:vertAlign w:val="superscript"/>
        </w:rPr>
        <w:t>e</w:t>
      </w:r>
      <w:r w:rsidRPr="0031225E">
        <w:rPr>
          <w:rFonts w:cs="Times New Roman"/>
        </w:rPr>
        <w:t xml:space="preserve"> siècle poussèrent les États à s’investir davantage dans la répression du marronnage des esclaves qui devint un « crime public ». Ils cherchèrent également des modes de punition alternatifs à la peine capital</w:t>
      </w:r>
      <w:r w:rsidR="0028431C">
        <w:rPr>
          <w:rFonts w:cs="Times New Roman"/>
        </w:rPr>
        <w:t>e</w:t>
      </w:r>
      <w:r w:rsidRPr="0031225E">
        <w:rPr>
          <w:rFonts w:cs="Times New Roman"/>
        </w:rPr>
        <w:t xml:space="preserve"> afin de préserver la main-d’œuvre d’esclaves. </w:t>
      </w:r>
    </w:p>
    <w:p w14:paraId="632462CD" w14:textId="77777777" w:rsidR="0031225E" w:rsidRPr="0031225E" w:rsidRDefault="0031225E" w:rsidP="0031225E">
      <w:pPr>
        <w:jc w:val="right"/>
      </w:pPr>
      <w:r w:rsidRPr="00475636">
        <w:rPr>
          <w:sz w:val="20"/>
          <w:lang w:eastAsia="fr-FR"/>
        </w:rPr>
        <w:t xml:space="preserve">Cécile </w:t>
      </w:r>
      <w:r w:rsidRPr="00475636">
        <w:rPr>
          <w:smallCaps/>
          <w:sz w:val="20"/>
          <w:lang w:eastAsia="fr-FR"/>
        </w:rPr>
        <w:t>Vidal</w:t>
      </w:r>
      <w:r w:rsidRPr="00475636">
        <w:rPr>
          <w:sz w:val="20"/>
          <w:lang w:eastAsia="fr-FR"/>
        </w:rPr>
        <w:t xml:space="preserve">, </w:t>
      </w:r>
      <w:r>
        <w:rPr>
          <w:sz w:val="20"/>
          <w:lang w:eastAsia="fr-FR"/>
        </w:rPr>
        <w:t xml:space="preserve">« Justice », </w:t>
      </w:r>
      <w:r w:rsidRPr="00475636">
        <w:rPr>
          <w:sz w:val="20"/>
          <w:lang w:eastAsia="fr-FR"/>
        </w:rPr>
        <w:t>dans</w:t>
      </w:r>
      <w:r>
        <w:rPr>
          <w:sz w:val="20"/>
          <w:lang w:eastAsia="fr-FR"/>
        </w:rPr>
        <w:t xml:space="preserve"> Paulin </w:t>
      </w:r>
      <w:proofErr w:type="spellStart"/>
      <w:r w:rsidRPr="0031225E">
        <w:rPr>
          <w:smallCaps/>
          <w:sz w:val="20"/>
          <w:lang w:eastAsia="fr-FR"/>
        </w:rPr>
        <w:t>Ismard</w:t>
      </w:r>
      <w:proofErr w:type="spellEnd"/>
      <w:r>
        <w:rPr>
          <w:sz w:val="20"/>
          <w:lang w:eastAsia="fr-FR"/>
        </w:rPr>
        <w:t xml:space="preserve"> (dir.), </w:t>
      </w:r>
      <w:r w:rsidR="00986CE8">
        <w:rPr>
          <w:sz w:val="20"/>
          <w:lang w:eastAsia="fr-FR"/>
        </w:rPr>
        <w:br/>
      </w:r>
      <w:r>
        <w:rPr>
          <w:i/>
          <w:sz w:val="20"/>
          <w:lang w:eastAsia="fr-FR"/>
        </w:rPr>
        <w:t>Les mondes de l’esclavage</w:t>
      </w:r>
      <w:r w:rsidR="00986CE8">
        <w:rPr>
          <w:i/>
          <w:sz w:val="20"/>
          <w:lang w:eastAsia="fr-FR"/>
        </w:rPr>
        <w:t>. Une histoire comparée</w:t>
      </w:r>
      <w:r>
        <w:rPr>
          <w:sz w:val="20"/>
          <w:lang w:eastAsia="fr-FR"/>
        </w:rPr>
        <w:t xml:space="preserve">, Paris, Seuil, 2021, p. 549-562, ici p. 554-555. </w:t>
      </w:r>
    </w:p>
    <w:p w14:paraId="05EF44D1" w14:textId="77777777" w:rsidR="00475636" w:rsidRDefault="00836BBC" w:rsidP="00475636">
      <w:pPr>
        <w:pStyle w:val="Sansinterligne"/>
      </w:pPr>
      <w:r>
        <w:t>3</w:t>
      </w:r>
      <w:r w:rsidR="00475636">
        <w:t xml:space="preserve">. </w:t>
      </w:r>
      <w:r w:rsidR="00834E38">
        <w:t>Être</w:t>
      </w:r>
      <w:r w:rsidR="003C7F98">
        <w:t xml:space="preserve"> « marron » </w:t>
      </w:r>
      <w:r w:rsidR="00834E38">
        <w:t>dans</w:t>
      </w:r>
      <w:r w:rsidR="003C7F98">
        <w:t xml:space="preserve"> la Nouvelle-Orléans </w:t>
      </w:r>
      <w:r w:rsidR="00834E38">
        <w:t>des années 1760</w:t>
      </w:r>
    </w:p>
    <w:p w14:paraId="472FC072" w14:textId="77777777" w:rsidR="003C7F98" w:rsidRDefault="003C7F98" w:rsidP="008866C6">
      <w:r w:rsidRPr="003C7F98">
        <w:t>Différentes stratégies ont été employées par les marrons à l'intérieur et à l'extérieur de la Nouvelle-Orléans pour se cacher et subvenir à leurs besoins. Certains restaient à la campagne et ne se faufilaient qu’occasionnellement dans la ville, tandis que d'autres s’installaient chez les citadins blancs pour effectuer divers types de travaux. [</w:t>
      </w:r>
      <w:r>
        <w:t>…</w:t>
      </w:r>
      <w:r w:rsidRPr="003C7F98">
        <w:t>] Outre la recherche de nourriture et de travail, les fugitifs devaient également chercher un endroit où dormir. Certains quittaient la ville au crépuscule pour se reposer dans les bois ou sur la digue à la campagne. D'autres bénéficiaient de la solidarité des esclaves urbains. César et Louis, deux fugitifs, ont passé des mois ensemble dans la capitale, trouvant parfois refuge dans les cabanes des femmes esclaves travaillant à l'hôpital de la Charité avant d'être finalement arrêtés et jugés séparément</w:t>
      </w:r>
      <w:r>
        <w:t xml:space="preserve"> </w:t>
      </w:r>
      <w:r w:rsidRPr="003C7F98">
        <w:t>pour désertion et vol. Bien que certains esclaves aient pu survivre pendant des mois à La Nouvelle-Orléans sans se faire prendre, il est probable que le centre urbain n'était pas encore assez grand pour leur permettre d'échapper définitivement à leurs maîtres et à la justice royale. La lenteur de la croissance démographique de la capitale louisianaise a fait qu</w:t>
      </w:r>
      <w:r>
        <w:t>’</w:t>
      </w:r>
      <w:r w:rsidRPr="003C7F98">
        <w:t>elle est restée longtemps une petite société et que la plupart des gens se connaissaient, du moins de vue. Les années 1760 constituent un moment critique à cet égard, car l</w:t>
      </w:r>
      <w:r>
        <w:t>’</w:t>
      </w:r>
      <w:r w:rsidRPr="003C7F98">
        <w:t xml:space="preserve">augmentation de la population urbaine avec l'arrivée de colons et d'esclaves de la rive est cédée aux Britanniques permet aux esclaves en fuite de vivre dans l'anonymat, du moins pour un temps. Après le procès de César en juillet 1764, il faut attendre encore quelques semaines avant que les autorités ne parviennent à arrêter Louis, début septembre. Bien que Louis, selon un témoin nommé Louison, </w:t>
      </w:r>
      <w:r>
        <w:t>« </w:t>
      </w:r>
      <w:r w:rsidRPr="003C7F98">
        <w:t>se promène sans crainte dans la ville</w:t>
      </w:r>
      <w:r>
        <w:t> »</w:t>
      </w:r>
      <w:r w:rsidRPr="003C7F98">
        <w:t xml:space="preserve">, le procureur général et les autres membres du Conseil supérieur sont obsédés par la collecte d'informations permettant de l'identifier. Le procès de César, comme les procès des autres esclaves fugitifs avant l'arrestation de Louis, comporte de nombreuses questions sur l'apparence et les vêtements de ce dernier. La croissance de la ville et l'intrépidité de Louis </w:t>
      </w:r>
      <w:r>
        <w:t>–</w:t>
      </w:r>
      <w:r w:rsidRPr="003C7F98">
        <w:t xml:space="preserve"> mais aussi les préjugés raciaux à l'égard des personnes d'origine africaine </w:t>
      </w:r>
      <w:r>
        <w:t>–</w:t>
      </w:r>
      <w:r w:rsidRPr="003C7F98">
        <w:t xml:space="preserve"> pourraient expliquer la difficulté qu</w:t>
      </w:r>
      <w:r>
        <w:t>’</w:t>
      </w:r>
      <w:r w:rsidRPr="003C7F98">
        <w:t>ont eue les fonctionnaires à l'attraper rapidement, car ils ne pouvaient peut-être pas le reconnaître facilement. Pour sa part, Louis avait soigneusement façonné son apparence vestimentaire pour se réinventer et ressembler à un homme libre urbain de couleur. [</w:t>
      </w:r>
      <w:r>
        <w:t>…</w:t>
      </w:r>
      <w:r w:rsidRPr="003C7F98">
        <w:t>] Il a probablement réussi à se cacher parce qu'il ne ressemblait pas à un esclave de plantation.</w:t>
      </w:r>
    </w:p>
    <w:p w14:paraId="0DF6A9F0" w14:textId="77777777" w:rsidR="003C7F98" w:rsidRPr="001D3596" w:rsidRDefault="003C7F98" w:rsidP="009D3266">
      <w:pPr>
        <w:jc w:val="right"/>
        <w:rPr>
          <w:sz w:val="20"/>
        </w:rPr>
      </w:pPr>
      <w:r w:rsidRPr="001D3596">
        <w:rPr>
          <w:sz w:val="20"/>
        </w:rPr>
        <w:t xml:space="preserve">Cécile </w:t>
      </w:r>
      <w:r w:rsidRPr="001D3596">
        <w:rPr>
          <w:smallCaps/>
          <w:sz w:val="20"/>
        </w:rPr>
        <w:t>Vidal</w:t>
      </w:r>
      <w:r w:rsidRPr="001D3596">
        <w:rPr>
          <w:sz w:val="20"/>
        </w:rPr>
        <w:t xml:space="preserve">, </w:t>
      </w:r>
      <w:r w:rsidR="009D3266" w:rsidRPr="001D3596">
        <w:rPr>
          <w:i/>
          <w:sz w:val="20"/>
        </w:rPr>
        <w:t>Caribbean New Orleans</w:t>
      </w:r>
      <w:r w:rsidR="001D3596" w:rsidRPr="001D3596">
        <w:rPr>
          <w:i/>
          <w:sz w:val="20"/>
        </w:rPr>
        <w:t>…</w:t>
      </w:r>
      <w:r w:rsidR="001D3596" w:rsidRPr="001D3596">
        <w:rPr>
          <w:sz w:val="20"/>
        </w:rPr>
        <w:t xml:space="preserve">, </w:t>
      </w:r>
      <w:r w:rsidR="001D3596" w:rsidRPr="001D3596">
        <w:rPr>
          <w:i/>
          <w:sz w:val="20"/>
        </w:rPr>
        <w:t xml:space="preserve">op. </w:t>
      </w:r>
      <w:proofErr w:type="gramStart"/>
      <w:r w:rsidR="001D3596" w:rsidRPr="001D3596">
        <w:rPr>
          <w:i/>
          <w:sz w:val="20"/>
        </w:rPr>
        <w:t>cit</w:t>
      </w:r>
      <w:proofErr w:type="gramEnd"/>
      <w:r w:rsidR="001D3596" w:rsidRPr="001D3596">
        <w:rPr>
          <w:i/>
          <w:sz w:val="20"/>
        </w:rPr>
        <w:t>.</w:t>
      </w:r>
      <w:r w:rsidR="009D3266" w:rsidRPr="001D3596">
        <w:rPr>
          <w:i/>
          <w:sz w:val="20"/>
        </w:rPr>
        <w:t>,</w:t>
      </w:r>
      <w:r w:rsidR="009D3266" w:rsidRPr="001D3596">
        <w:rPr>
          <w:sz w:val="20"/>
        </w:rPr>
        <w:t xml:space="preserve"> p. 131-133 (traduit de l’anglais). </w:t>
      </w:r>
    </w:p>
    <w:p w14:paraId="4AE20B78" w14:textId="77777777" w:rsidR="0085120E" w:rsidRPr="001D3596" w:rsidRDefault="0085120E" w:rsidP="004843E1">
      <w:pPr>
        <w:jc w:val="center"/>
        <w:rPr>
          <w:sz w:val="20"/>
        </w:rPr>
        <w:sectPr w:rsidR="0085120E" w:rsidRPr="001D3596" w:rsidSect="006D16FE">
          <w:type w:val="continuous"/>
          <w:pgSz w:w="11905" w:h="16837"/>
          <w:pgMar w:top="1134" w:right="1418" w:bottom="1134" w:left="1418" w:header="709" w:footer="709" w:gutter="0"/>
          <w:cols w:space="708"/>
          <w:docGrid w:linePitch="360"/>
        </w:sectPr>
      </w:pPr>
    </w:p>
    <w:p w14:paraId="5CDEC5AC" w14:textId="77777777" w:rsidR="009552BA" w:rsidRPr="00D315A1" w:rsidRDefault="006D16FE" w:rsidP="00D315A1">
      <w:pPr>
        <w:pStyle w:val="Titre"/>
        <w:rPr>
          <w:rFonts w:cs="Times New Roman"/>
        </w:rPr>
      </w:pPr>
      <w:r w:rsidRPr="00607133">
        <w:rPr>
          <w:rFonts w:cs="Times New Roman"/>
        </w:rPr>
        <w:lastRenderedPageBreak/>
        <w:t xml:space="preserve">Outils </w:t>
      </w:r>
    </w:p>
    <w:p w14:paraId="69523179" w14:textId="77777777" w:rsidR="00FA0D58" w:rsidRPr="002D702A" w:rsidRDefault="00FF1610" w:rsidP="00FA0D58">
      <w:pPr>
        <w:pStyle w:val="Sansinterligne"/>
        <w:rPr>
          <w:rFonts w:cs="Times New Roman"/>
        </w:rPr>
      </w:pPr>
      <w:r>
        <w:rPr>
          <w:rFonts w:cs="Times New Roman"/>
        </w:rPr>
        <w:t>Les normes de citation d’une bibliographie</w:t>
      </w:r>
    </w:p>
    <w:p w14:paraId="1140CE92" w14:textId="77777777" w:rsidR="007C1961" w:rsidRPr="00607133" w:rsidRDefault="007C1961" w:rsidP="007C1961">
      <w:pPr>
        <w:pStyle w:val="Biblio"/>
      </w:pPr>
      <w:r w:rsidRPr="00607133">
        <w:t xml:space="preserve">La bibliographie est l’un des outils clés pour se repérer dans la littérature scientifique. Tout travail rendu à l’université doit être, dans l’idéal, accompagné d’une bibliographie précise – montrant toutes les références employées à la réalisation dudit travail – et correctement présentée. Les codes diffèrent selon les régions du monde et les disciplines. Ce bref guide vise à présenter les codes de citation les plus fréquemment utilisés en histoire et en France. </w:t>
      </w:r>
    </w:p>
    <w:p w14:paraId="7E4161D2" w14:textId="77777777" w:rsidR="00FA0D58" w:rsidRPr="00607133" w:rsidRDefault="006F452A" w:rsidP="007B2C73">
      <w:pPr>
        <w:pStyle w:val="Biblio"/>
        <w:spacing w:before="120"/>
      </w:pPr>
      <w:r w:rsidRPr="00607133">
        <w:t xml:space="preserve">1/ </w:t>
      </w:r>
      <w:r w:rsidR="00FA0D58" w:rsidRPr="00607133">
        <w:t>Dans le cas d’</w:t>
      </w:r>
      <w:r w:rsidR="00FA0D58" w:rsidRPr="00607133">
        <w:rPr>
          <w:b/>
        </w:rPr>
        <w:t>un livre</w:t>
      </w:r>
      <w:r w:rsidR="00FA0D58" w:rsidRPr="00607133">
        <w:t xml:space="preserve">, la règle la plus commune est la suivante : </w:t>
      </w:r>
    </w:p>
    <w:p w14:paraId="2D52AAA1" w14:textId="77777777" w:rsidR="00FA0D58" w:rsidRPr="00607133" w:rsidRDefault="00FA0D58" w:rsidP="00F3586C">
      <w:pPr>
        <w:jc w:val="center"/>
      </w:pPr>
      <w:r w:rsidRPr="00607133">
        <w:rPr>
          <w:smallCaps/>
        </w:rPr>
        <w:t>Nom de l’auteur</w:t>
      </w:r>
      <w:r w:rsidRPr="00607133">
        <w:t xml:space="preserve">, Prénom de l’auteur, </w:t>
      </w:r>
      <w:r w:rsidRPr="00607133">
        <w:rPr>
          <w:i/>
        </w:rPr>
        <w:t>Titre de l’ouvrage</w:t>
      </w:r>
      <w:r w:rsidRPr="00607133">
        <w:t xml:space="preserve">, </w:t>
      </w:r>
      <w:r w:rsidR="00D74AE6" w:rsidRPr="00607133">
        <w:br/>
      </w:r>
      <w:r w:rsidRPr="00607133">
        <w:t>Lieu d’édition, Éditeur, Année de parution.</w:t>
      </w:r>
    </w:p>
    <w:p w14:paraId="5768A759" w14:textId="77777777" w:rsidR="00FA0D58" w:rsidRPr="00607133" w:rsidRDefault="00FA0D58" w:rsidP="00F3586C">
      <w:pPr>
        <w:jc w:val="center"/>
        <w:rPr>
          <w:sz w:val="21"/>
        </w:rPr>
      </w:pPr>
      <w:r w:rsidRPr="00607133">
        <w:rPr>
          <w:sz w:val="21"/>
        </w:rPr>
        <w:t xml:space="preserve">Ainsi avec un exemple concret : </w:t>
      </w:r>
      <w:r w:rsidRPr="00607133">
        <w:rPr>
          <w:sz w:val="21"/>
        </w:rPr>
        <w:br/>
      </w:r>
      <w:proofErr w:type="spellStart"/>
      <w:r w:rsidRPr="00607133">
        <w:rPr>
          <w:smallCaps/>
          <w:sz w:val="21"/>
        </w:rPr>
        <w:t>B</w:t>
      </w:r>
      <w:r w:rsidR="00EB0BA5" w:rsidRPr="00607133">
        <w:rPr>
          <w:smallCaps/>
          <w:sz w:val="21"/>
        </w:rPr>
        <w:t>é</w:t>
      </w:r>
      <w:r w:rsidRPr="00607133">
        <w:rPr>
          <w:smallCaps/>
          <w:sz w:val="21"/>
        </w:rPr>
        <w:t>ly</w:t>
      </w:r>
      <w:proofErr w:type="spellEnd"/>
      <w:r w:rsidRPr="00607133">
        <w:rPr>
          <w:sz w:val="21"/>
        </w:rPr>
        <w:t xml:space="preserve">, Lucien, </w:t>
      </w:r>
      <w:r w:rsidRPr="00607133">
        <w:rPr>
          <w:i/>
          <w:sz w:val="21"/>
        </w:rPr>
        <w:t>Espions et ambassadeurs : au temps de Louis XIV</w:t>
      </w:r>
      <w:r w:rsidRPr="00607133">
        <w:rPr>
          <w:sz w:val="21"/>
        </w:rPr>
        <w:t>, Paris, Fayard, 1990.</w:t>
      </w:r>
    </w:p>
    <w:p w14:paraId="64E8D866" w14:textId="77777777" w:rsidR="00FA0D58" w:rsidRPr="00607133" w:rsidRDefault="006F452A" w:rsidP="007B2C73">
      <w:pPr>
        <w:pStyle w:val="Biblio"/>
        <w:spacing w:before="240"/>
      </w:pPr>
      <w:r w:rsidRPr="00607133">
        <w:t xml:space="preserve">2/ </w:t>
      </w:r>
      <w:r w:rsidR="00FA0D58" w:rsidRPr="00607133">
        <w:t xml:space="preserve">Pour citer </w:t>
      </w:r>
      <w:r w:rsidR="00FA0D58" w:rsidRPr="00607133">
        <w:rPr>
          <w:b/>
        </w:rPr>
        <w:t xml:space="preserve">un chapitre de livre </w:t>
      </w:r>
      <w:r w:rsidR="00FA0D58" w:rsidRPr="00607133">
        <w:t xml:space="preserve">(collectif ou non), ou une </w:t>
      </w:r>
      <w:r w:rsidR="00FA0D58" w:rsidRPr="00607133">
        <w:rPr>
          <w:b/>
        </w:rPr>
        <w:t>notice de dictionnaire</w:t>
      </w:r>
      <w:r w:rsidR="00FA0D58" w:rsidRPr="00607133">
        <w:t xml:space="preserve">, on procède ainsi :  </w:t>
      </w:r>
    </w:p>
    <w:p w14:paraId="53C29D71" w14:textId="77777777" w:rsidR="00FA0D58" w:rsidRPr="00607133" w:rsidRDefault="00FA0D58" w:rsidP="00F3586C">
      <w:pPr>
        <w:jc w:val="center"/>
        <w:rPr>
          <w:szCs w:val="23"/>
        </w:rPr>
      </w:pPr>
      <w:r w:rsidRPr="00607133">
        <w:rPr>
          <w:smallCaps/>
          <w:szCs w:val="23"/>
        </w:rPr>
        <w:t xml:space="preserve">Nom de l’auteur </w:t>
      </w:r>
      <w:r w:rsidRPr="00607133">
        <w:rPr>
          <w:szCs w:val="23"/>
        </w:rPr>
        <w:t xml:space="preserve">(du chapitre), Prénom, « Titre de la notice ou du chapitre », </w:t>
      </w:r>
      <w:r w:rsidRPr="00607133">
        <w:rPr>
          <w:szCs w:val="23"/>
        </w:rPr>
        <w:br/>
        <w:t xml:space="preserve">dans </w:t>
      </w:r>
      <w:r w:rsidRPr="00607133">
        <w:rPr>
          <w:smallCaps/>
          <w:szCs w:val="23"/>
        </w:rPr>
        <w:t xml:space="preserve">Nom du directeur de l’ouvrage, </w:t>
      </w:r>
      <w:r w:rsidRPr="00607133">
        <w:rPr>
          <w:szCs w:val="23"/>
        </w:rPr>
        <w:t xml:space="preserve">Prénom, </w:t>
      </w:r>
      <w:r w:rsidRPr="00607133">
        <w:rPr>
          <w:i/>
          <w:szCs w:val="23"/>
        </w:rPr>
        <w:t>Titre de l’ouvrage</w:t>
      </w:r>
      <w:r w:rsidRPr="00607133">
        <w:rPr>
          <w:szCs w:val="23"/>
        </w:rPr>
        <w:t xml:space="preserve">, </w:t>
      </w:r>
      <w:r w:rsidRPr="00607133">
        <w:rPr>
          <w:szCs w:val="23"/>
        </w:rPr>
        <w:br/>
        <w:t>Lieu d’édition, Éditeur, Année de parution, p. x-y.</w:t>
      </w:r>
    </w:p>
    <w:p w14:paraId="6C1ED077" w14:textId="77777777" w:rsidR="00D74AE6" w:rsidRPr="00607133" w:rsidRDefault="00FA0D58" w:rsidP="00F3586C">
      <w:pPr>
        <w:jc w:val="center"/>
        <w:rPr>
          <w:sz w:val="21"/>
          <w:szCs w:val="21"/>
        </w:rPr>
      </w:pPr>
      <w:r w:rsidRPr="00607133">
        <w:rPr>
          <w:sz w:val="21"/>
          <w:szCs w:val="21"/>
        </w:rPr>
        <w:t>Ainsi avec un exemple concret</w:t>
      </w:r>
      <w:r w:rsidR="00D74AE6" w:rsidRPr="00607133">
        <w:rPr>
          <w:sz w:val="21"/>
          <w:szCs w:val="21"/>
        </w:rPr>
        <w:t xml:space="preserve"> (pour un chapitre)</w:t>
      </w:r>
      <w:r w:rsidRPr="00607133">
        <w:rPr>
          <w:sz w:val="21"/>
          <w:szCs w:val="21"/>
        </w:rPr>
        <w:t xml:space="preserve"> : </w:t>
      </w:r>
      <w:r w:rsidRPr="00607133">
        <w:rPr>
          <w:sz w:val="21"/>
          <w:szCs w:val="21"/>
        </w:rPr>
        <w:br/>
      </w:r>
      <w:r w:rsidRPr="00607133">
        <w:rPr>
          <w:smallCaps/>
          <w:sz w:val="21"/>
          <w:szCs w:val="21"/>
        </w:rPr>
        <w:t>Villiers</w:t>
      </w:r>
      <w:r w:rsidRPr="00607133">
        <w:rPr>
          <w:sz w:val="21"/>
          <w:szCs w:val="21"/>
        </w:rPr>
        <w:t xml:space="preserve">, Patrick, « Louis XIV, Vauban et Dunkerque », </w:t>
      </w:r>
      <w:r w:rsidRPr="00607133">
        <w:rPr>
          <w:sz w:val="21"/>
          <w:szCs w:val="21"/>
        </w:rPr>
        <w:br/>
        <w:t xml:space="preserve">dans </w:t>
      </w:r>
      <w:r w:rsidRPr="00607133">
        <w:rPr>
          <w:smallCaps/>
          <w:sz w:val="21"/>
          <w:szCs w:val="21"/>
        </w:rPr>
        <w:t>Id</w:t>
      </w:r>
      <w:r w:rsidRPr="00607133">
        <w:rPr>
          <w:sz w:val="21"/>
          <w:szCs w:val="21"/>
        </w:rPr>
        <w:t>.</w:t>
      </w:r>
      <w:r w:rsidRPr="00607133">
        <w:rPr>
          <w:rStyle w:val="Appelnotedebasdep"/>
          <w:sz w:val="21"/>
          <w:szCs w:val="21"/>
        </w:rPr>
        <w:footnoteReference w:id="16"/>
      </w:r>
      <w:r w:rsidRPr="00607133">
        <w:rPr>
          <w:sz w:val="21"/>
          <w:szCs w:val="21"/>
        </w:rPr>
        <w:t xml:space="preserve">, </w:t>
      </w:r>
      <w:r w:rsidRPr="00607133">
        <w:rPr>
          <w:i/>
          <w:sz w:val="21"/>
          <w:szCs w:val="21"/>
        </w:rPr>
        <w:t xml:space="preserve">Jean Bart. Corsaire du Roi-Soleil, </w:t>
      </w:r>
      <w:r w:rsidRPr="00607133">
        <w:rPr>
          <w:sz w:val="21"/>
          <w:szCs w:val="21"/>
        </w:rPr>
        <w:t>Paris, Fayard, 2013, p. 253-266.</w:t>
      </w:r>
    </w:p>
    <w:p w14:paraId="75304BF4" w14:textId="77777777" w:rsidR="00FA0D58" w:rsidRPr="00607133" w:rsidRDefault="00D74AE6" w:rsidP="00F3586C">
      <w:pPr>
        <w:jc w:val="center"/>
        <w:rPr>
          <w:sz w:val="21"/>
          <w:szCs w:val="21"/>
        </w:rPr>
      </w:pPr>
      <w:r w:rsidRPr="00607133">
        <w:rPr>
          <w:smallCaps/>
          <w:sz w:val="21"/>
          <w:szCs w:val="21"/>
        </w:rPr>
        <w:t>(</w:t>
      </w:r>
      <w:proofErr w:type="gramStart"/>
      <w:r w:rsidRPr="00703939">
        <w:rPr>
          <w:sz w:val="21"/>
          <w:szCs w:val="21"/>
        </w:rPr>
        <w:t>pour</w:t>
      </w:r>
      <w:proofErr w:type="gramEnd"/>
      <w:r w:rsidRPr="00703939">
        <w:rPr>
          <w:sz w:val="21"/>
          <w:szCs w:val="21"/>
        </w:rPr>
        <w:t xml:space="preserve"> une notice de dictionnaire</w:t>
      </w:r>
      <w:r w:rsidRPr="00607133">
        <w:rPr>
          <w:smallCaps/>
          <w:sz w:val="21"/>
          <w:szCs w:val="21"/>
        </w:rPr>
        <w:t>)</w:t>
      </w:r>
      <w:r w:rsidRPr="00607133">
        <w:rPr>
          <w:smallCaps/>
          <w:sz w:val="21"/>
          <w:szCs w:val="21"/>
        </w:rPr>
        <w:br/>
      </w:r>
      <w:r w:rsidR="00FA0D58" w:rsidRPr="00607133">
        <w:rPr>
          <w:smallCaps/>
          <w:sz w:val="21"/>
          <w:szCs w:val="21"/>
        </w:rPr>
        <w:t>Villiers</w:t>
      </w:r>
      <w:r w:rsidR="00FA0D58" w:rsidRPr="00607133">
        <w:rPr>
          <w:sz w:val="21"/>
          <w:szCs w:val="21"/>
        </w:rPr>
        <w:t xml:space="preserve">, Patrick, « Dunkerque », dans Gilbert </w:t>
      </w:r>
      <w:proofErr w:type="spellStart"/>
      <w:r w:rsidR="00FA0D58" w:rsidRPr="00607133">
        <w:rPr>
          <w:sz w:val="21"/>
          <w:szCs w:val="21"/>
        </w:rPr>
        <w:t>Buti</w:t>
      </w:r>
      <w:proofErr w:type="spellEnd"/>
      <w:r w:rsidR="00FA0D58" w:rsidRPr="00607133">
        <w:rPr>
          <w:sz w:val="21"/>
          <w:szCs w:val="21"/>
        </w:rPr>
        <w:t xml:space="preserve">, Philippe </w:t>
      </w:r>
      <w:proofErr w:type="spellStart"/>
      <w:r w:rsidR="00FA0D58" w:rsidRPr="00607133">
        <w:rPr>
          <w:sz w:val="21"/>
          <w:szCs w:val="21"/>
        </w:rPr>
        <w:t>Hrodej</w:t>
      </w:r>
      <w:proofErr w:type="spellEnd"/>
      <w:r w:rsidR="00FA0D58" w:rsidRPr="00607133">
        <w:rPr>
          <w:sz w:val="21"/>
          <w:szCs w:val="21"/>
        </w:rPr>
        <w:t xml:space="preserve"> (dir.), </w:t>
      </w:r>
      <w:r w:rsidR="00FA0D58" w:rsidRPr="00607133">
        <w:rPr>
          <w:sz w:val="21"/>
          <w:szCs w:val="21"/>
        </w:rPr>
        <w:br/>
      </w:r>
      <w:r w:rsidR="00FA0D58" w:rsidRPr="00607133">
        <w:rPr>
          <w:i/>
          <w:sz w:val="21"/>
          <w:szCs w:val="21"/>
        </w:rPr>
        <w:t>Dictionnaire des corsaires et pirates</w:t>
      </w:r>
      <w:r w:rsidR="00FA0D58" w:rsidRPr="00607133">
        <w:rPr>
          <w:sz w:val="21"/>
          <w:szCs w:val="21"/>
        </w:rPr>
        <w:t>, Paris, CNRS Éditions, 2013, p. 256</w:t>
      </w:r>
      <w:r w:rsidR="00142058" w:rsidRPr="00607133">
        <w:rPr>
          <w:sz w:val="21"/>
          <w:szCs w:val="21"/>
        </w:rPr>
        <w:t>-257</w:t>
      </w:r>
      <w:r w:rsidR="00FA0D58" w:rsidRPr="00607133">
        <w:rPr>
          <w:sz w:val="21"/>
          <w:szCs w:val="21"/>
        </w:rPr>
        <w:t>.</w:t>
      </w:r>
    </w:p>
    <w:p w14:paraId="58DED10A" w14:textId="77777777" w:rsidR="00FA0D58" w:rsidRPr="00607133" w:rsidRDefault="006F452A" w:rsidP="007B2C73">
      <w:pPr>
        <w:pStyle w:val="Biblio"/>
        <w:spacing w:before="240"/>
      </w:pPr>
      <w:r w:rsidRPr="00607133">
        <w:t xml:space="preserve">3/ </w:t>
      </w:r>
      <w:r w:rsidR="00FA0D58" w:rsidRPr="00607133">
        <w:t xml:space="preserve">Dans le cas d’un </w:t>
      </w:r>
      <w:r w:rsidR="00FA0D58" w:rsidRPr="00607133">
        <w:rPr>
          <w:b/>
        </w:rPr>
        <w:t>article de revue</w:t>
      </w:r>
      <w:r w:rsidR="00FA0D58" w:rsidRPr="00607133">
        <w:t xml:space="preserve">, voici le format le plus fréquent : </w:t>
      </w:r>
    </w:p>
    <w:p w14:paraId="77066125" w14:textId="77777777" w:rsidR="00FA0D58" w:rsidRPr="00607133" w:rsidRDefault="00FA0D58" w:rsidP="00F3586C">
      <w:pPr>
        <w:jc w:val="center"/>
      </w:pPr>
      <w:r w:rsidRPr="00607133">
        <w:rPr>
          <w:smallCaps/>
        </w:rPr>
        <w:t>Nom de l’auteur</w:t>
      </w:r>
      <w:r w:rsidRPr="00607133">
        <w:t xml:space="preserve">, Prénom de l’auteur, « Titre de l’article », </w:t>
      </w:r>
      <w:r w:rsidRPr="00607133">
        <w:br/>
      </w:r>
      <w:r w:rsidRPr="00607133">
        <w:rPr>
          <w:i/>
        </w:rPr>
        <w:t>Nom de la revue</w:t>
      </w:r>
      <w:r w:rsidRPr="00607133">
        <w:t xml:space="preserve">, année de parution, </w:t>
      </w:r>
      <w:r w:rsidR="00B20B10" w:rsidRPr="00607133">
        <w:t>n</w:t>
      </w:r>
      <w:r w:rsidR="00B20B10" w:rsidRPr="00607133">
        <w:rPr>
          <w:vertAlign w:val="superscript"/>
        </w:rPr>
        <w:t>o</w:t>
      </w:r>
      <w:r w:rsidR="00B20B10" w:rsidRPr="00607133">
        <w:t xml:space="preserve"> concerné/numéro de parution dans l’année, p. x-y.</w:t>
      </w:r>
    </w:p>
    <w:p w14:paraId="4AC9B397" w14:textId="77777777" w:rsidR="00B20B10" w:rsidRPr="00607133" w:rsidRDefault="00B20B10" w:rsidP="00F3586C">
      <w:pPr>
        <w:jc w:val="center"/>
        <w:rPr>
          <w:rFonts w:cs="Times New Roman"/>
          <w:sz w:val="21"/>
          <w:szCs w:val="20"/>
        </w:rPr>
      </w:pPr>
      <w:r w:rsidRPr="00607133">
        <w:rPr>
          <w:sz w:val="21"/>
        </w:rPr>
        <w:t xml:space="preserve">Avec un exemple concret : </w:t>
      </w:r>
      <w:r w:rsidRPr="00607133">
        <w:rPr>
          <w:sz w:val="21"/>
        </w:rPr>
        <w:br/>
      </w:r>
      <w:proofErr w:type="spellStart"/>
      <w:r w:rsidRPr="00607133">
        <w:rPr>
          <w:rFonts w:cs="Times New Roman"/>
          <w:smallCaps/>
          <w:sz w:val="21"/>
          <w:szCs w:val="20"/>
        </w:rPr>
        <w:t>Darnton</w:t>
      </w:r>
      <w:proofErr w:type="spellEnd"/>
      <w:r w:rsidRPr="00607133">
        <w:rPr>
          <w:rFonts w:cs="Times New Roman"/>
          <w:sz w:val="21"/>
          <w:szCs w:val="20"/>
        </w:rPr>
        <w:t xml:space="preserve">, Robert, « Le lieutenant de police T. P. Lenoir, la guerre des farines et l'approvisionnement </w:t>
      </w:r>
      <w:r w:rsidRPr="00607133">
        <w:rPr>
          <w:rFonts w:cs="Times New Roman"/>
          <w:sz w:val="21"/>
          <w:szCs w:val="20"/>
        </w:rPr>
        <w:br/>
        <w:t xml:space="preserve">de Paris à la veille de la Révolution », </w:t>
      </w:r>
      <w:r w:rsidRPr="00607133">
        <w:rPr>
          <w:rStyle w:val="Accentuation"/>
          <w:rFonts w:cs="Times New Roman"/>
          <w:sz w:val="21"/>
          <w:szCs w:val="20"/>
        </w:rPr>
        <w:t>Revue d’histoire moderne et contemporaine</w:t>
      </w:r>
      <w:r w:rsidRPr="00607133">
        <w:rPr>
          <w:rFonts w:cs="Times New Roman"/>
          <w:sz w:val="21"/>
          <w:szCs w:val="20"/>
        </w:rPr>
        <w:t>, 1969, 16/4, p. 611-624</w:t>
      </w:r>
      <w:r w:rsidR="00AF06E4" w:rsidRPr="00607133">
        <w:rPr>
          <w:rFonts w:cs="Times New Roman"/>
          <w:sz w:val="21"/>
          <w:szCs w:val="20"/>
        </w:rPr>
        <w:t>.</w:t>
      </w:r>
    </w:p>
    <w:p w14:paraId="36FB781B" w14:textId="77777777" w:rsidR="00E36E8C" w:rsidRPr="00607133" w:rsidRDefault="006F452A" w:rsidP="007B2C73">
      <w:pPr>
        <w:pStyle w:val="Biblio"/>
        <w:spacing w:before="240"/>
      </w:pPr>
      <w:r w:rsidRPr="00607133">
        <w:t xml:space="preserve">4/ </w:t>
      </w:r>
      <w:r w:rsidR="00D66A2C">
        <w:rPr>
          <w:b/>
        </w:rPr>
        <w:t>La présentation d’</w:t>
      </w:r>
      <w:r w:rsidR="000E09CB" w:rsidRPr="00607133">
        <w:rPr>
          <w:b/>
        </w:rPr>
        <w:t>une source primaire</w:t>
      </w:r>
      <w:r w:rsidR="004B5257" w:rsidRPr="00607133">
        <w:t>*</w:t>
      </w:r>
      <w:r w:rsidR="000E09CB" w:rsidRPr="00607133">
        <w:t xml:space="preserve"> dépend de sa nature et de son support. Le plus souvent, vous </w:t>
      </w:r>
      <w:r w:rsidR="00D66A2C">
        <w:t>présenterez</w:t>
      </w:r>
      <w:r w:rsidR="000E09CB" w:rsidRPr="00607133">
        <w:t xml:space="preserve"> des sources éditées, c’est-à-dire publiées par un historien</w:t>
      </w:r>
      <w:r w:rsidR="00D66A2C">
        <w:t xml:space="preserve"> longtemps après leur production</w:t>
      </w:r>
      <w:r w:rsidR="000E09CB" w:rsidRPr="00607133">
        <w:t xml:space="preserve">. Dans ce cas, vous pouvez la citer ainsi : </w:t>
      </w:r>
    </w:p>
    <w:p w14:paraId="683B6BE3" w14:textId="77777777" w:rsidR="00E36E8C" w:rsidRPr="00607133" w:rsidRDefault="00E36E8C" w:rsidP="00F3586C">
      <w:pPr>
        <w:jc w:val="center"/>
        <w:rPr>
          <w:szCs w:val="22"/>
        </w:rPr>
      </w:pPr>
      <w:r w:rsidRPr="00607133">
        <w:rPr>
          <w:smallCaps/>
          <w:szCs w:val="22"/>
        </w:rPr>
        <w:t>Nom de l’auteur</w:t>
      </w:r>
      <w:r w:rsidR="000E09CB" w:rsidRPr="00607133">
        <w:rPr>
          <w:smallCaps/>
          <w:szCs w:val="22"/>
        </w:rPr>
        <w:t xml:space="preserve"> de la source</w:t>
      </w:r>
      <w:r w:rsidRPr="00607133">
        <w:rPr>
          <w:szCs w:val="22"/>
        </w:rPr>
        <w:t xml:space="preserve">, Prénom de l’auteur, </w:t>
      </w:r>
      <w:r w:rsidR="000E09CB" w:rsidRPr="00607133">
        <w:rPr>
          <w:i/>
          <w:szCs w:val="22"/>
        </w:rPr>
        <w:t>Titre de l’ouvrage</w:t>
      </w:r>
      <w:r w:rsidR="000E09CB" w:rsidRPr="00607133">
        <w:rPr>
          <w:szCs w:val="22"/>
        </w:rPr>
        <w:t xml:space="preserve"> </w:t>
      </w:r>
      <w:r w:rsidR="000E09CB" w:rsidRPr="00607133">
        <w:rPr>
          <w:rFonts w:cs="Times New Roman"/>
          <w:szCs w:val="22"/>
        </w:rPr>
        <w:t>[date de production]</w:t>
      </w:r>
      <w:r w:rsidRPr="00607133">
        <w:rPr>
          <w:szCs w:val="22"/>
        </w:rPr>
        <w:t xml:space="preserve">, </w:t>
      </w:r>
      <w:r w:rsidRPr="00607133">
        <w:rPr>
          <w:szCs w:val="22"/>
        </w:rPr>
        <w:br/>
      </w:r>
      <w:r w:rsidR="000E09CB" w:rsidRPr="00607133">
        <w:rPr>
          <w:szCs w:val="22"/>
        </w:rPr>
        <w:t xml:space="preserve">éd. </w:t>
      </w:r>
      <w:r w:rsidR="000E09CB" w:rsidRPr="00607133">
        <w:rPr>
          <w:smallCaps/>
          <w:szCs w:val="22"/>
        </w:rPr>
        <w:t>nom</w:t>
      </w:r>
      <w:r w:rsidR="000E09CB" w:rsidRPr="00607133">
        <w:rPr>
          <w:szCs w:val="22"/>
        </w:rPr>
        <w:t xml:space="preserve"> de l’historien-éditeur/traducteur, Lieu d’édition, Éditeur, Année d’édition</w:t>
      </w:r>
      <w:r w:rsidRPr="00607133">
        <w:rPr>
          <w:szCs w:val="22"/>
        </w:rPr>
        <w:t>.</w:t>
      </w:r>
    </w:p>
    <w:p w14:paraId="4AA6D9A0" w14:textId="77777777" w:rsidR="00E36E8C" w:rsidRPr="00607133" w:rsidRDefault="00D74AE6" w:rsidP="00F3586C">
      <w:pPr>
        <w:jc w:val="center"/>
        <w:rPr>
          <w:rFonts w:cs="Times New Roman"/>
          <w:sz w:val="21"/>
          <w:szCs w:val="21"/>
        </w:rPr>
      </w:pPr>
      <w:r w:rsidRPr="00607133">
        <w:rPr>
          <w:sz w:val="21"/>
          <w:szCs w:val="21"/>
        </w:rPr>
        <w:t>A</w:t>
      </w:r>
      <w:r w:rsidR="00E36E8C" w:rsidRPr="00607133">
        <w:rPr>
          <w:sz w:val="21"/>
          <w:szCs w:val="21"/>
        </w:rPr>
        <w:t xml:space="preserve">vec un exemple concret : </w:t>
      </w:r>
      <w:r w:rsidR="00E36E8C" w:rsidRPr="00607133">
        <w:rPr>
          <w:sz w:val="21"/>
          <w:szCs w:val="21"/>
        </w:rPr>
        <w:br/>
      </w:r>
      <w:r w:rsidR="004B5257" w:rsidRPr="00607133">
        <w:rPr>
          <w:rFonts w:cs="Times New Roman"/>
          <w:smallCaps/>
          <w:sz w:val="21"/>
          <w:szCs w:val="21"/>
        </w:rPr>
        <w:t>Saint-Simon</w:t>
      </w:r>
      <w:r w:rsidR="00E36E8C" w:rsidRPr="00607133">
        <w:rPr>
          <w:rFonts w:cs="Times New Roman"/>
          <w:sz w:val="21"/>
          <w:szCs w:val="21"/>
        </w:rPr>
        <w:t xml:space="preserve">, </w:t>
      </w:r>
      <w:r w:rsidR="004B5257" w:rsidRPr="00607133">
        <w:rPr>
          <w:rFonts w:cs="Times New Roman"/>
          <w:sz w:val="21"/>
          <w:szCs w:val="21"/>
        </w:rPr>
        <w:t>Louis de Rouvroy</w:t>
      </w:r>
      <w:r w:rsidR="00E36E8C" w:rsidRPr="00607133">
        <w:rPr>
          <w:rFonts w:cs="Times New Roman"/>
          <w:sz w:val="21"/>
          <w:szCs w:val="21"/>
        </w:rPr>
        <w:t xml:space="preserve">, </w:t>
      </w:r>
      <w:r w:rsidR="004B5257" w:rsidRPr="00607133">
        <w:rPr>
          <w:rFonts w:cs="Times New Roman"/>
          <w:i/>
          <w:sz w:val="21"/>
          <w:szCs w:val="21"/>
        </w:rPr>
        <w:t>Mémoires</w:t>
      </w:r>
      <w:r w:rsidR="004B5257" w:rsidRPr="00607133">
        <w:rPr>
          <w:rFonts w:cs="Times New Roman"/>
          <w:sz w:val="21"/>
          <w:szCs w:val="21"/>
        </w:rPr>
        <w:t xml:space="preserve"> [1739-1749]</w:t>
      </w:r>
      <w:r w:rsidR="00E36E8C" w:rsidRPr="00607133">
        <w:rPr>
          <w:rFonts w:cs="Times New Roman"/>
          <w:sz w:val="21"/>
          <w:szCs w:val="21"/>
        </w:rPr>
        <w:t xml:space="preserve">, </w:t>
      </w:r>
      <w:r w:rsidR="004B5257" w:rsidRPr="00607133">
        <w:rPr>
          <w:rFonts w:cs="Times New Roman"/>
          <w:sz w:val="21"/>
          <w:szCs w:val="21"/>
        </w:rPr>
        <w:br/>
      </w:r>
      <w:r w:rsidR="004B5257" w:rsidRPr="00607133">
        <w:rPr>
          <w:rStyle w:val="Accentuation"/>
          <w:rFonts w:cs="Times New Roman"/>
          <w:i w:val="0"/>
          <w:sz w:val="21"/>
          <w:szCs w:val="21"/>
        </w:rPr>
        <w:t xml:space="preserve">éd. Paul </w:t>
      </w:r>
      <w:proofErr w:type="spellStart"/>
      <w:r w:rsidR="004B5257" w:rsidRPr="00607133">
        <w:rPr>
          <w:rStyle w:val="Accentuation"/>
          <w:rFonts w:cs="Times New Roman"/>
          <w:i w:val="0"/>
          <w:sz w:val="21"/>
          <w:szCs w:val="21"/>
        </w:rPr>
        <w:t>Galleret</w:t>
      </w:r>
      <w:proofErr w:type="spellEnd"/>
      <w:r w:rsidR="004B5257" w:rsidRPr="00607133">
        <w:rPr>
          <w:rStyle w:val="Accentuation"/>
          <w:rFonts w:cs="Times New Roman"/>
          <w:i w:val="0"/>
          <w:sz w:val="21"/>
          <w:szCs w:val="21"/>
        </w:rPr>
        <w:t>, Paris, Union générale d’édition, 1974.</w:t>
      </w:r>
    </w:p>
    <w:p w14:paraId="7DF7BA1F" w14:textId="77777777" w:rsidR="006D16FE" w:rsidRPr="009552BA" w:rsidRDefault="006D16FE" w:rsidP="009552BA">
      <w:pPr>
        <w:pStyle w:val="Sansinterligne"/>
        <w:rPr>
          <w:rFonts w:cs="Times New Roman"/>
          <w:sz w:val="24"/>
        </w:rPr>
      </w:pPr>
    </w:p>
    <w:p w14:paraId="23AC1FCA" w14:textId="77777777" w:rsidR="009552BA" w:rsidRDefault="009552BA">
      <w:pPr>
        <w:spacing w:before="0" w:after="0" w:line="240" w:lineRule="auto"/>
        <w:ind w:firstLine="0"/>
        <w:jc w:val="left"/>
        <w:rPr>
          <w:b/>
        </w:rPr>
      </w:pPr>
      <w:r>
        <w:br w:type="page"/>
      </w:r>
    </w:p>
    <w:p w14:paraId="1D4C4AD9" w14:textId="77777777" w:rsidR="00B26EBC" w:rsidRDefault="00B26EBC" w:rsidP="006D16FE">
      <w:pPr>
        <w:pStyle w:val="Sansinterligne"/>
        <w:rPr>
          <w:rFonts w:cs="Times New Roman"/>
          <w:sz w:val="24"/>
        </w:rPr>
      </w:pPr>
      <w:r>
        <w:rPr>
          <w:rFonts w:cs="Times New Roman"/>
          <w:sz w:val="24"/>
        </w:rPr>
        <w:lastRenderedPageBreak/>
        <w:t>Les normes d’écriture en histoire</w:t>
      </w:r>
      <w:r w:rsidR="009A4C56">
        <w:rPr>
          <w:rFonts w:cs="Times New Roman"/>
          <w:sz w:val="24"/>
        </w:rPr>
        <w:t xml:space="preserve"> : le « ton » idéal d’une copie </w:t>
      </w:r>
    </w:p>
    <w:p w14:paraId="12E01EBB" w14:textId="77777777" w:rsidR="009A4C56" w:rsidRPr="00D66387" w:rsidRDefault="009A4C56" w:rsidP="009A4C56">
      <w:pPr>
        <w:rPr>
          <w:sz w:val="24"/>
        </w:rPr>
      </w:pPr>
      <w:r w:rsidRPr="00D66387">
        <w:rPr>
          <w:sz w:val="24"/>
        </w:rPr>
        <w:t xml:space="preserve">L’écriture historique implique quelques règles de base, surtout dans le cadre d’une copie universitaire. Une bonne copie raconte, explique et fait comprendre. Pour cette raison, le « ton » est quelque chose de très important : il doit être maîtrisé, clair, mais aussi agréable. Trouver le juste milieu est difficile, et souvent le résultat d’un travail long, fait de larmes de sang et de mauvaises notes. Mais quelques erreurs grossières peuvent être évitées très facilement ! Il vous faut surtout respecter une règle triple : soyez </w:t>
      </w:r>
      <w:r w:rsidRPr="00D66387">
        <w:rPr>
          <w:b/>
          <w:sz w:val="24"/>
        </w:rPr>
        <w:t>neutre</w:t>
      </w:r>
      <w:r>
        <w:rPr>
          <w:b/>
          <w:sz w:val="24"/>
        </w:rPr>
        <w:t>s</w:t>
      </w:r>
      <w:r w:rsidRPr="00D66387">
        <w:rPr>
          <w:b/>
          <w:sz w:val="24"/>
        </w:rPr>
        <w:t>, factuel</w:t>
      </w:r>
      <w:r>
        <w:rPr>
          <w:b/>
          <w:sz w:val="24"/>
        </w:rPr>
        <w:t>s</w:t>
      </w:r>
      <w:r w:rsidRPr="00D66387">
        <w:rPr>
          <w:b/>
          <w:sz w:val="24"/>
        </w:rPr>
        <w:t xml:space="preserve"> </w:t>
      </w:r>
      <w:r w:rsidRPr="00D66387">
        <w:rPr>
          <w:sz w:val="24"/>
        </w:rPr>
        <w:t xml:space="preserve">et </w:t>
      </w:r>
      <w:r w:rsidRPr="00D66387">
        <w:rPr>
          <w:b/>
          <w:sz w:val="24"/>
        </w:rPr>
        <w:t>simple</w:t>
      </w:r>
      <w:r>
        <w:rPr>
          <w:b/>
          <w:sz w:val="24"/>
        </w:rPr>
        <w:t>s</w:t>
      </w:r>
      <w:r w:rsidRPr="00D66387">
        <w:rPr>
          <w:sz w:val="24"/>
        </w:rPr>
        <w:t xml:space="preserve">. </w:t>
      </w:r>
    </w:p>
    <w:p w14:paraId="3B07B2BE" w14:textId="77777777" w:rsidR="009A4C56" w:rsidRPr="009A4C56" w:rsidRDefault="009A4C56" w:rsidP="009A4C56">
      <w:pPr>
        <w:rPr>
          <w:sz w:val="24"/>
        </w:rPr>
      </w:pPr>
      <w:r w:rsidRPr="00D66387">
        <w:rPr>
          <w:sz w:val="24"/>
        </w:rPr>
        <w:t xml:space="preserve">Pour être </w:t>
      </w:r>
      <w:r w:rsidRPr="00D66387">
        <w:rPr>
          <w:b/>
          <w:sz w:val="24"/>
        </w:rPr>
        <w:t>neutre</w:t>
      </w:r>
      <w:r w:rsidRPr="00D66387">
        <w:rPr>
          <w:sz w:val="24"/>
        </w:rPr>
        <w:t xml:space="preserve">, il vous faut </w:t>
      </w:r>
      <w:r w:rsidRPr="00D66387">
        <w:rPr>
          <w:sz w:val="24"/>
          <w:u w:val="single"/>
        </w:rPr>
        <w:t>supprimer une bonne partie des adverbes et adjectifs que vous utilisez habituellement</w:t>
      </w:r>
      <w:r w:rsidRPr="00D66387">
        <w:rPr>
          <w:sz w:val="24"/>
        </w:rPr>
        <w:t xml:space="preserve">. </w:t>
      </w:r>
      <w:r>
        <w:rPr>
          <w:sz w:val="24"/>
        </w:rPr>
        <w:t>Ces qualificatifs sont très souvent subjectifs, et n’ajoutent rien à votre argumentation. Ainsi pourquoi écrire le « </w:t>
      </w:r>
      <w:r w:rsidRPr="00D66387">
        <w:rPr>
          <w:i/>
          <w:sz w:val="24"/>
        </w:rPr>
        <w:t xml:space="preserve">grand roi </w:t>
      </w:r>
      <w:r w:rsidR="00B15CE9">
        <w:rPr>
          <w:i/>
          <w:sz w:val="24"/>
        </w:rPr>
        <w:t>Louis XIV</w:t>
      </w:r>
      <w:r>
        <w:rPr>
          <w:sz w:val="24"/>
        </w:rPr>
        <w:t> », quand vous pouvez sobrement utiliser «</w:t>
      </w:r>
      <w:r w:rsidR="00B15CE9">
        <w:rPr>
          <w:sz w:val="24"/>
        </w:rPr>
        <w:t xml:space="preserve"> </w:t>
      </w:r>
      <w:r w:rsidR="00B15CE9" w:rsidRPr="00B15CE9">
        <w:rPr>
          <w:i/>
          <w:sz w:val="24"/>
        </w:rPr>
        <w:t>Louis XIV</w:t>
      </w:r>
      <w:r>
        <w:rPr>
          <w:sz w:val="24"/>
        </w:rPr>
        <w:t xml:space="preserve"> » ? </w:t>
      </w:r>
      <w:r w:rsidRPr="00D66387">
        <w:rPr>
          <w:sz w:val="24"/>
        </w:rPr>
        <w:t xml:space="preserve">Le danger de nombreuses copies est de donner un ton emphatique*. L’emphase, c’est un procédé littéraire qui vise à tout exagérer, à en faire des tonnes. L’emphase est couramment employée dans les travaux de vulgarisation de l’histoire. Cet emploi vulgarisateur découle d’une tradition scientifique : relisez Michelet en imitant Stéphane Bern, ça marche très bien ! </w:t>
      </w:r>
      <w:r>
        <w:rPr>
          <w:sz w:val="24"/>
        </w:rPr>
        <w:t>Ce ton ampoulé peut venir d’éléments qui vous sembleraient anodins. Beaucoup d’étudiants multipliant les qualificatifs emphatiques finissent par enfoncer des portes ouvertes : ainsi celles et ceux qui parlent d’un « </w:t>
      </w:r>
      <w:r w:rsidRPr="009B2F60">
        <w:rPr>
          <w:i/>
          <w:sz w:val="24"/>
        </w:rPr>
        <w:t>massacre violent</w:t>
      </w:r>
      <w:r>
        <w:rPr>
          <w:sz w:val="24"/>
        </w:rPr>
        <w:t> » ou se sentent obligés de préciser que les guerres de religion sont une période « </w:t>
      </w:r>
      <w:r w:rsidRPr="009B2F60">
        <w:rPr>
          <w:i/>
          <w:sz w:val="24"/>
        </w:rPr>
        <w:t xml:space="preserve">de </w:t>
      </w:r>
      <w:r>
        <w:rPr>
          <w:i/>
          <w:sz w:val="24"/>
        </w:rPr>
        <w:t xml:space="preserve">très </w:t>
      </w:r>
      <w:r w:rsidRPr="009B2F60">
        <w:rPr>
          <w:i/>
          <w:sz w:val="24"/>
        </w:rPr>
        <w:t>fortes tensions entre catholiques et protestants</w:t>
      </w:r>
      <w:r>
        <w:rPr>
          <w:sz w:val="24"/>
        </w:rPr>
        <w:t> ». Parfois, cela vient d’éléments ridicules, comme une copie qui commence par « </w:t>
      </w:r>
      <w:r>
        <w:rPr>
          <w:i/>
          <w:sz w:val="24"/>
        </w:rPr>
        <w:t xml:space="preserve">Nous sommes en </w:t>
      </w:r>
      <w:r w:rsidR="00B15CE9">
        <w:rPr>
          <w:i/>
          <w:sz w:val="24"/>
        </w:rPr>
        <w:t>1715</w:t>
      </w:r>
      <w:r>
        <w:rPr>
          <w:sz w:val="24"/>
        </w:rPr>
        <w:t> »</w:t>
      </w:r>
      <w:r w:rsidR="00B15CE9">
        <w:rPr>
          <w:sz w:val="24"/>
        </w:rPr>
        <w:t xml:space="preserve"> : </w:t>
      </w:r>
      <w:r>
        <w:rPr>
          <w:sz w:val="24"/>
        </w:rPr>
        <w:t>si on écrit généralement l’histoire au présent, vous vivez et écrivez bien au XXI</w:t>
      </w:r>
      <w:r w:rsidRPr="00071388">
        <w:rPr>
          <w:sz w:val="24"/>
          <w:vertAlign w:val="superscript"/>
        </w:rPr>
        <w:t>e</w:t>
      </w:r>
      <w:r>
        <w:rPr>
          <w:sz w:val="24"/>
        </w:rPr>
        <w:t xml:space="preserve"> siècle... </w:t>
      </w:r>
    </w:p>
    <w:p w14:paraId="3160EF74" w14:textId="77777777" w:rsidR="009A4C56" w:rsidRPr="00215337" w:rsidRDefault="009A4C56" w:rsidP="009A4C56">
      <w:pPr>
        <w:pStyle w:val="Notes"/>
        <w:spacing w:before="120"/>
        <w:jc w:val="center"/>
        <w:rPr>
          <w:b/>
          <w:u w:val="single"/>
        </w:rPr>
      </w:pPr>
      <w:r w:rsidRPr="00215337">
        <w:rPr>
          <w:b/>
          <w:u w:val="single"/>
        </w:rPr>
        <w:t xml:space="preserve">Un exemple de </w:t>
      </w:r>
      <w:r>
        <w:rPr>
          <w:b/>
          <w:u w:val="single"/>
        </w:rPr>
        <w:t>texte</w:t>
      </w:r>
      <w:r w:rsidRPr="00215337">
        <w:rPr>
          <w:b/>
          <w:u w:val="single"/>
        </w:rPr>
        <w:t xml:space="preserve"> emphatique ... et comment y remédier</w:t>
      </w:r>
    </w:p>
    <w:p w14:paraId="6ECEF31B" w14:textId="77777777" w:rsidR="009A4C56" w:rsidRPr="009B2F60" w:rsidRDefault="009A4C56" w:rsidP="009A4C56">
      <w:pPr>
        <w:pStyle w:val="Notes"/>
        <w:spacing w:after="240"/>
        <w:jc w:val="center"/>
        <w:rPr>
          <w:i/>
        </w:rPr>
      </w:pPr>
      <w:proofErr w:type="gramStart"/>
      <w:r w:rsidRPr="00215337">
        <w:rPr>
          <w:i/>
        </w:rPr>
        <w:t>en</w:t>
      </w:r>
      <w:proofErr w:type="gramEnd"/>
      <w:r w:rsidRPr="00215337">
        <w:rPr>
          <w:i/>
        </w:rPr>
        <w:t xml:space="preserve"> </w:t>
      </w:r>
      <w:r w:rsidRPr="00215337">
        <w:rPr>
          <w:i/>
          <w:highlight w:val="yellow"/>
        </w:rPr>
        <w:t>jaune</w:t>
      </w:r>
      <w:r w:rsidRPr="00215337">
        <w:rPr>
          <w:i/>
        </w:rPr>
        <w:t xml:space="preserve">, les éléments emphatiques ; en </w:t>
      </w:r>
      <w:r w:rsidRPr="00215337">
        <w:rPr>
          <w:i/>
          <w:highlight w:val="lightGray"/>
        </w:rPr>
        <w:t>gris</w:t>
      </w:r>
      <w:r w:rsidRPr="00215337">
        <w:rPr>
          <w:i/>
        </w:rPr>
        <w:t>, les usages grammaticaux interdits</w:t>
      </w:r>
    </w:p>
    <w:tbl>
      <w:tblPr>
        <w:tblStyle w:val="Grilledutableau"/>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6901"/>
        <w:gridCol w:w="1315"/>
      </w:tblGrid>
      <w:tr w:rsidR="009A4C56" w14:paraId="15EED2D1" w14:textId="77777777" w:rsidTr="00E35AAA">
        <w:trPr>
          <w:jc w:val="center"/>
        </w:trPr>
        <w:tc>
          <w:tcPr>
            <w:tcW w:w="1315" w:type="dxa"/>
            <w:tcBorders>
              <w:bottom w:val="single" w:sz="4" w:space="0" w:color="FFFFFF" w:themeColor="background1"/>
              <w:right w:val="single" w:sz="4" w:space="0" w:color="000000"/>
            </w:tcBorders>
            <w:vAlign w:val="center"/>
          </w:tcPr>
          <w:p w14:paraId="145134F8" w14:textId="77777777" w:rsidR="009A4C56" w:rsidRPr="00071388" w:rsidRDefault="009A4C56" w:rsidP="00E35AAA">
            <w:pPr>
              <w:ind w:left="45" w:firstLine="0"/>
              <w:jc w:val="center"/>
              <w:rPr>
                <w:i/>
                <w:sz w:val="21"/>
              </w:rPr>
            </w:pPr>
            <w:r w:rsidRPr="00071388">
              <w:rPr>
                <w:i/>
                <w:sz w:val="21"/>
              </w:rPr>
              <w:t xml:space="preserve">L’extrait </w:t>
            </w:r>
            <w:r>
              <w:rPr>
                <w:i/>
                <w:sz w:val="21"/>
              </w:rPr>
              <w:br/>
            </w:r>
            <w:r w:rsidRPr="00071388">
              <w:rPr>
                <w:i/>
                <w:sz w:val="21"/>
              </w:rPr>
              <w:t>originel ...</w:t>
            </w:r>
          </w:p>
        </w:tc>
        <w:tc>
          <w:tcPr>
            <w:tcW w:w="8216" w:type="dxa"/>
            <w:gridSpan w:val="2"/>
            <w:tcBorders>
              <w:left w:val="single" w:sz="4" w:space="0" w:color="000000"/>
              <w:bottom w:val="single" w:sz="4" w:space="0" w:color="FFFFFF" w:themeColor="background1"/>
            </w:tcBorders>
          </w:tcPr>
          <w:p w14:paraId="0A69BFC6" w14:textId="77777777" w:rsidR="009A4C56" w:rsidRPr="00071388" w:rsidRDefault="00F436F1" w:rsidP="00E35AAA">
            <w:pPr>
              <w:spacing w:before="0" w:after="0"/>
              <w:ind w:left="184" w:firstLine="0"/>
              <w:rPr>
                <w:i/>
                <w:sz w:val="21"/>
              </w:rPr>
            </w:pPr>
            <w:r>
              <w:rPr>
                <w:sz w:val="21"/>
              </w:rPr>
              <w:t xml:space="preserve">Après une </w:t>
            </w:r>
            <w:r w:rsidRPr="00215337">
              <w:rPr>
                <w:sz w:val="21"/>
                <w:highlight w:val="yellow"/>
              </w:rPr>
              <w:t>lente agonie</w:t>
            </w:r>
            <w:r>
              <w:rPr>
                <w:sz w:val="21"/>
              </w:rPr>
              <w:t xml:space="preserve"> dont </w:t>
            </w:r>
            <w:proofErr w:type="spellStart"/>
            <w:r>
              <w:rPr>
                <w:sz w:val="21"/>
              </w:rPr>
              <w:t>Saint-Mauris</w:t>
            </w:r>
            <w:proofErr w:type="spellEnd"/>
            <w:r>
              <w:rPr>
                <w:sz w:val="21"/>
              </w:rPr>
              <w:t xml:space="preserve"> alerte l’empereur dès le 27 juillet 1545, la mort </w:t>
            </w:r>
            <w:r w:rsidRPr="00215337">
              <w:rPr>
                <w:sz w:val="21"/>
                <w:highlight w:val="lightGray"/>
              </w:rPr>
              <w:t>atteindra</w:t>
            </w:r>
            <w:r>
              <w:rPr>
                <w:sz w:val="21"/>
              </w:rPr>
              <w:t xml:space="preserve"> François I</w:t>
            </w:r>
            <w:r w:rsidRPr="00215337">
              <w:rPr>
                <w:sz w:val="21"/>
                <w:vertAlign w:val="superscript"/>
              </w:rPr>
              <w:t>er</w:t>
            </w:r>
            <w:r>
              <w:rPr>
                <w:sz w:val="21"/>
              </w:rPr>
              <w:t xml:space="preserve">, </w:t>
            </w:r>
            <w:r w:rsidRPr="00215337">
              <w:rPr>
                <w:sz w:val="21"/>
                <w:highlight w:val="yellow"/>
              </w:rPr>
              <w:t>roi depuis 1515, non à Chambord, dans ce cadre qui eût si bien convenu au dernier soupir du roi chevalier</w:t>
            </w:r>
            <w:r>
              <w:rPr>
                <w:sz w:val="21"/>
              </w:rPr>
              <w:t xml:space="preserve">, mais dans son château de Rambouillet, le 31 mars 1547. Ce laps de temps de près de deux ans </w:t>
            </w:r>
            <w:r w:rsidRPr="00215337">
              <w:rPr>
                <w:sz w:val="21"/>
                <w:highlight w:val="lightGray"/>
              </w:rPr>
              <w:t>va laisser</w:t>
            </w:r>
            <w:r>
              <w:rPr>
                <w:sz w:val="21"/>
              </w:rPr>
              <w:t xml:space="preserve"> </w:t>
            </w:r>
            <w:r w:rsidRPr="00215337">
              <w:rPr>
                <w:sz w:val="21"/>
                <w:highlight w:val="yellow"/>
              </w:rPr>
              <w:t>tout le loisir</w:t>
            </w:r>
            <w:r>
              <w:rPr>
                <w:sz w:val="21"/>
              </w:rPr>
              <w:t xml:space="preserve"> aux adversaires du </w:t>
            </w:r>
            <w:r w:rsidRPr="00852DC2">
              <w:rPr>
                <w:sz w:val="21"/>
                <w:highlight w:val="yellow"/>
                <w:u w:val="single"/>
              </w:rPr>
              <w:t>vieux</w:t>
            </w:r>
            <w:r w:rsidRPr="00215337">
              <w:rPr>
                <w:sz w:val="21"/>
                <w:highlight w:val="yellow"/>
              </w:rPr>
              <w:t xml:space="preserve"> roi</w:t>
            </w:r>
            <w:r>
              <w:rPr>
                <w:sz w:val="21"/>
              </w:rPr>
              <w:t xml:space="preserve"> de préparer, </w:t>
            </w:r>
            <w:r w:rsidRPr="00215337">
              <w:rPr>
                <w:sz w:val="21"/>
                <w:highlight w:val="yellow"/>
              </w:rPr>
              <w:t>à leur manière</w:t>
            </w:r>
            <w:r>
              <w:rPr>
                <w:sz w:val="21"/>
              </w:rPr>
              <w:t xml:space="preserve">, autour du dauphin, la </w:t>
            </w:r>
            <w:r w:rsidRPr="00215337">
              <w:rPr>
                <w:sz w:val="21"/>
                <w:highlight w:val="yellow"/>
              </w:rPr>
              <w:t>prise en mains du royaume</w:t>
            </w:r>
            <w:r>
              <w:rPr>
                <w:sz w:val="21"/>
              </w:rPr>
              <w:t>.</w:t>
            </w:r>
          </w:p>
        </w:tc>
      </w:tr>
      <w:tr w:rsidR="00F436F1" w14:paraId="3DA68E96" w14:textId="77777777" w:rsidTr="00E35AAA">
        <w:trPr>
          <w:gridAfter w:val="1"/>
          <w:wAfter w:w="1315" w:type="dxa"/>
          <w:jc w:val="center"/>
        </w:trPr>
        <w:tc>
          <w:tcPr>
            <w:tcW w:w="8216" w:type="dxa"/>
            <w:gridSpan w:val="2"/>
            <w:tcBorders>
              <w:left w:val="single" w:sz="4" w:space="0" w:color="FFFFFF" w:themeColor="background1"/>
            </w:tcBorders>
          </w:tcPr>
          <w:p w14:paraId="061A6522" w14:textId="77777777" w:rsidR="00F436F1" w:rsidRPr="00036ADB" w:rsidRDefault="00F436F1" w:rsidP="00E35AAA">
            <w:pPr>
              <w:pStyle w:val="Notes"/>
              <w:rPr>
                <w:sz w:val="8"/>
              </w:rPr>
            </w:pPr>
          </w:p>
        </w:tc>
      </w:tr>
      <w:tr w:rsidR="00F436F1" w14:paraId="05111B6B" w14:textId="77777777" w:rsidTr="00E35AAA">
        <w:trPr>
          <w:gridAfter w:val="1"/>
          <w:wAfter w:w="1315" w:type="dxa"/>
          <w:jc w:val="center"/>
        </w:trPr>
        <w:tc>
          <w:tcPr>
            <w:tcW w:w="8216" w:type="dxa"/>
            <w:gridSpan w:val="2"/>
            <w:tcBorders>
              <w:left w:val="single" w:sz="4" w:space="0" w:color="FFFFFF" w:themeColor="background1"/>
            </w:tcBorders>
          </w:tcPr>
          <w:p w14:paraId="39B8E40A" w14:textId="77777777" w:rsidR="00F436F1" w:rsidRPr="00036ADB" w:rsidRDefault="00F436F1" w:rsidP="00E35AAA">
            <w:pPr>
              <w:pStyle w:val="Notes"/>
              <w:rPr>
                <w:sz w:val="8"/>
              </w:rPr>
            </w:pPr>
          </w:p>
        </w:tc>
      </w:tr>
      <w:tr w:rsidR="009A4C56" w14:paraId="66ED2618" w14:textId="77777777" w:rsidTr="00E35AAA">
        <w:trPr>
          <w:jc w:val="center"/>
        </w:trPr>
        <w:tc>
          <w:tcPr>
            <w:tcW w:w="1315" w:type="dxa"/>
            <w:tcBorders>
              <w:right w:val="single" w:sz="4" w:space="0" w:color="000000"/>
            </w:tcBorders>
            <w:vAlign w:val="center"/>
          </w:tcPr>
          <w:p w14:paraId="7C558BCB" w14:textId="77777777" w:rsidR="009A4C56" w:rsidRPr="00071388" w:rsidRDefault="009A4C56" w:rsidP="00E35AAA">
            <w:pPr>
              <w:ind w:left="45" w:firstLine="0"/>
              <w:jc w:val="center"/>
              <w:rPr>
                <w:sz w:val="21"/>
              </w:rPr>
            </w:pPr>
            <w:r w:rsidRPr="00071388">
              <w:rPr>
                <w:i/>
                <w:sz w:val="21"/>
              </w:rPr>
              <w:t xml:space="preserve">... </w:t>
            </w:r>
            <w:r w:rsidR="00F436F1">
              <w:rPr>
                <w:i/>
                <w:sz w:val="21"/>
              </w:rPr>
              <w:t xml:space="preserve">ici </w:t>
            </w:r>
            <w:r w:rsidRPr="00071388">
              <w:rPr>
                <w:i/>
                <w:sz w:val="21"/>
              </w:rPr>
              <w:t>corrigé</w:t>
            </w:r>
          </w:p>
        </w:tc>
        <w:tc>
          <w:tcPr>
            <w:tcW w:w="8216" w:type="dxa"/>
            <w:gridSpan w:val="2"/>
            <w:tcBorders>
              <w:left w:val="single" w:sz="4" w:space="0" w:color="000000"/>
            </w:tcBorders>
          </w:tcPr>
          <w:p w14:paraId="78E0E63A" w14:textId="77777777" w:rsidR="009A4C56" w:rsidRPr="00071388" w:rsidRDefault="009A4C56" w:rsidP="009A4C56">
            <w:pPr>
              <w:spacing w:before="0"/>
              <w:ind w:left="184" w:firstLine="0"/>
              <w:rPr>
                <w:sz w:val="21"/>
              </w:rPr>
            </w:pPr>
            <w:r>
              <w:rPr>
                <w:sz w:val="21"/>
              </w:rPr>
              <w:t>La mort de François I</w:t>
            </w:r>
            <w:r w:rsidRPr="00215337">
              <w:rPr>
                <w:sz w:val="21"/>
                <w:vertAlign w:val="superscript"/>
              </w:rPr>
              <w:t>er</w:t>
            </w:r>
            <w:r>
              <w:rPr>
                <w:sz w:val="21"/>
              </w:rPr>
              <w:t xml:space="preserve"> le 31 mars 1547 à Rambouillet n’est pas une surprise. Le roi est alors malade depuis plusieurs années, ce que </w:t>
            </w:r>
            <w:r w:rsidR="00804EBE">
              <w:rPr>
                <w:sz w:val="21"/>
              </w:rPr>
              <w:t xml:space="preserve">Jean de </w:t>
            </w:r>
            <w:proofErr w:type="spellStart"/>
            <w:r>
              <w:rPr>
                <w:sz w:val="21"/>
              </w:rPr>
              <w:t>Saint-Mauris</w:t>
            </w:r>
            <w:proofErr w:type="spellEnd"/>
            <w:r>
              <w:rPr>
                <w:sz w:val="21"/>
              </w:rPr>
              <w:t xml:space="preserve"> mentionne dans sa correspondance avec l’Empereur dès juillet 1545. Ce laps de temps conséquent semble employé par une partie de la cour pour préparer, autour du dauphin Henri, la succession. </w:t>
            </w:r>
          </w:p>
        </w:tc>
      </w:tr>
    </w:tbl>
    <w:p w14:paraId="32DB5DA2" w14:textId="77777777" w:rsidR="009A4C56" w:rsidRPr="005F6B9A" w:rsidRDefault="009A4C56" w:rsidP="009A4C56">
      <w:pPr>
        <w:spacing w:before="240"/>
        <w:rPr>
          <w:sz w:val="24"/>
        </w:rPr>
      </w:pPr>
      <w:r w:rsidRPr="005F6B9A">
        <w:rPr>
          <w:sz w:val="24"/>
        </w:rPr>
        <w:t>Pour être</w:t>
      </w:r>
      <w:r w:rsidRPr="005F6B9A">
        <w:rPr>
          <w:b/>
          <w:sz w:val="24"/>
        </w:rPr>
        <w:t xml:space="preserve"> factuel</w:t>
      </w:r>
      <w:r>
        <w:rPr>
          <w:b/>
          <w:sz w:val="24"/>
        </w:rPr>
        <w:t>s</w:t>
      </w:r>
      <w:r w:rsidRPr="005F6B9A">
        <w:rPr>
          <w:sz w:val="24"/>
        </w:rPr>
        <w:t xml:space="preserve">, rappelez-vous toujours que l’histoire, </w:t>
      </w:r>
      <w:r w:rsidRPr="005F6B9A">
        <w:rPr>
          <w:sz w:val="24"/>
          <w:u w:val="single"/>
        </w:rPr>
        <w:t>c’est le récit de gens qui font des trucs</w:t>
      </w:r>
      <w:r w:rsidRPr="005F6B9A">
        <w:rPr>
          <w:sz w:val="24"/>
        </w:rPr>
        <w:t>. Et si quelqu’un vient redire à cela, répondez-lui que c’est Paul Veyne qui le dit, en réponse à Michel Foucault : « </w:t>
      </w:r>
      <w:r w:rsidRPr="005F6B9A">
        <w:rPr>
          <w:i/>
          <w:sz w:val="24"/>
        </w:rPr>
        <w:t>Juger les gens sur leurs actes et éliminer les fantômes éternels que suscite en nous le langage. La pratique, ce n’est pas une mystérieuse instance, un sous-sol de l’histoire, un moteur caché : c’est ce que font les gens</w:t>
      </w:r>
      <w:r w:rsidRPr="005F6B9A">
        <w:rPr>
          <w:sz w:val="24"/>
        </w:rPr>
        <w:t> »</w:t>
      </w:r>
      <w:r w:rsidRPr="005F6B9A">
        <w:rPr>
          <w:rStyle w:val="Appelnotedebasdep"/>
          <w:sz w:val="24"/>
        </w:rPr>
        <w:footnoteReference w:id="17"/>
      </w:r>
      <w:r w:rsidRPr="005F6B9A">
        <w:rPr>
          <w:sz w:val="24"/>
        </w:rPr>
        <w:t xml:space="preserve">. Une copie factuelle est une copie qui revient systématiquement et précisément aux faits et aux événements. Un événement est mentionné dans un document ? Alors votre commentaire doit, à un moment donné, le </w:t>
      </w:r>
      <w:r w:rsidRPr="005F6B9A">
        <w:rPr>
          <w:i/>
          <w:sz w:val="24"/>
        </w:rPr>
        <w:t>raconter</w:t>
      </w:r>
      <w:r w:rsidRPr="005F6B9A">
        <w:rPr>
          <w:sz w:val="24"/>
        </w:rPr>
        <w:t xml:space="preserve">. Ainsi lorsque </w:t>
      </w:r>
      <w:r>
        <w:rPr>
          <w:sz w:val="24"/>
        </w:rPr>
        <w:t>la légende du dessin du second bombardement de Dunkerque (1695) précise « </w:t>
      </w:r>
      <w:r w:rsidRPr="008D4A9D">
        <w:rPr>
          <w:i/>
          <w:sz w:val="24"/>
        </w:rPr>
        <w:t>Les Anglais et les Hollandais, toujours fâchés du grand nombre de navires que les armateurs leur enlevaient journellement voulurent essayer une seconde fois de bombarder Dunkerque</w:t>
      </w:r>
      <w:r>
        <w:rPr>
          <w:sz w:val="24"/>
        </w:rPr>
        <w:t xml:space="preserve"> », vous devez absolument revenir sur les prises corsaires des années précédentes, la bataille du Texel et ses suites, </w:t>
      </w:r>
      <w:r>
        <w:rPr>
          <w:sz w:val="24"/>
        </w:rPr>
        <w:lastRenderedPageBreak/>
        <w:t xml:space="preserve">notamment le premier bombardement de Dunkerque. </w:t>
      </w:r>
      <w:r w:rsidRPr="005F6B9A">
        <w:rPr>
          <w:sz w:val="24"/>
        </w:rPr>
        <w:t>Généralement, c’est au cœur de vos sous-parties que cela se joue, dans les ‘éléments factuels’. C’est ce qui différencie une copie fondée sur des connaissances solides et concrètes d’une copie tentant vainement de noyer le poisson. L’un des défauts</w:t>
      </w:r>
      <w:r>
        <w:rPr>
          <w:sz w:val="24"/>
        </w:rPr>
        <w:t xml:space="preserve"> </w:t>
      </w:r>
      <w:r w:rsidRPr="005F6B9A">
        <w:rPr>
          <w:sz w:val="24"/>
        </w:rPr>
        <w:t xml:space="preserve">serait de virer dans l’histoire-fiction : vous n’êtes pas là pour inventer mais pour commenter des choses réelles.  </w:t>
      </w:r>
      <w:r>
        <w:rPr>
          <w:sz w:val="24"/>
        </w:rPr>
        <w:t>La factualité d’une copie passe enfin par l’</w:t>
      </w:r>
      <w:r w:rsidRPr="00A82AFB">
        <w:rPr>
          <w:sz w:val="24"/>
          <w:u w:val="single"/>
        </w:rPr>
        <w:t>emploi d’un vocabulaire précis</w:t>
      </w:r>
      <w:r>
        <w:rPr>
          <w:sz w:val="24"/>
        </w:rPr>
        <w:t xml:space="preserve">, choisi et ciblé. Votre copie doit abonder de termes clés, vus en cours magistral comme au cours des TD. La précision vous permet aussi de ne pas tourner autour du pot...  </w:t>
      </w:r>
    </w:p>
    <w:p w14:paraId="24A3CD72" w14:textId="77777777" w:rsidR="009A4C56" w:rsidRDefault="009A4C56" w:rsidP="009A4C56">
      <w:pPr>
        <w:rPr>
          <w:sz w:val="24"/>
        </w:rPr>
      </w:pPr>
      <w:r>
        <w:rPr>
          <w:sz w:val="24"/>
        </w:rPr>
        <w:t>Enfin, s</w:t>
      </w:r>
      <w:r w:rsidRPr="005F6B9A">
        <w:rPr>
          <w:sz w:val="24"/>
        </w:rPr>
        <w:t>oyez</w:t>
      </w:r>
      <w:r w:rsidRPr="005F6B9A">
        <w:rPr>
          <w:b/>
          <w:sz w:val="24"/>
        </w:rPr>
        <w:t xml:space="preserve"> simples</w:t>
      </w:r>
      <w:r w:rsidRPr="005F6B9A">
        <w:rPr>
          <w:sz w:val="24"/>
        </w:rPr>
        <w:t xml:space="preserve"> ! </w:t>
      </w:r>
      <w:r>
        <w:rPr>
          <w:sz w:val="24"/>
        </w:rPr>
        <w:t>Toute démonstration peut être réalisée simplement</w:t>
      </w:r>
      <w:r w:rsidRPr="005F6B9A">
        <w:rPr>
          <w:sz w:val="24"/>
        </w:rPr>
        <w:t>. Faites des phrases courtes. Évitez les mots compliqués. Évitez les concepts que vous ne maitrisez pas. Évitez également de chercher de la « symbolique » et de lire les événements à travers un prisme philosophico-politico-</w:t>
      </w:r>
      <w:r>
        <w:rPr>
          <w:sz w:val="24"/>
        </w:rPr>
        <w:t>ésotérique</w:t>
      </w:r>
      <w:r w:rsidRPr="005F6B9A">
        <w:rPr>
          <w:sz w:val="24"/>
        </w:rPr>
        <w:t xml:space="preserve">. Avant de passer par les étapes compliquées, il faut d’abord dire les choses les plus concrètes, le plus simplement possible. Rappelez-vous toujours, en écrivant, que votre correcteur doit comprendre rapidement ce que vous essayez de lui dire. Alors épurez votre écriture le plus possible. Ainsi, </w:t>
      </w:r>
      <w:r>
        <w:rPr>
          <w:sz w:val="24"/>
        </w:rPr>
        <w:t>lorsque vous écrivez</w:t>
      </w:r>
      <w:r w:rsidRPr="005F6B9A">
        <w:rPr>
          <w:sz w:val="24"/>
        </w:rPr>
        <w:t> : « </w:t>
      </w:r>
      <w:r w:rsidRPr="005F6B9A">
        <w:rPr>
          <w:i/>
          <w:sz w:val="24"/>
        </w:rPr>
        <w:t>En effet, en 1648, la monarchie doit faire face à des tensions pour des raisons fiscales, due à une poussée ascendante des impôts pour financer les guerres</w:t>
      </w:r>
      <w:r w:rsidRPr="005F6B9A">
        <w:rPr>
          <w:sz w:val="24"/>
        </w:rPr>
        <w:t xml:space="preserve"> », </w:t>
      </w:r>
      <w:r>
        <w:rPr>
          <w:sz w:val="24"/>
        </w:rPr>
        <w:t>vous pourriez</w:t>
      </w:r>
      <w:r w:rsidRPr="005F6B9A">
        <w:rPr>
          <w:sz w:val="24"/>
        </w:rPr>
        <w:t xml:space="preserve"> dire « </w:t>
      </w:r>
      <w:r w:rsidRPr="005F6B9A">
        <w:rPr>
          <w:i/>
          <w:sz w:val="24"/>
        </w:rPr>
        <w:t>En 1648, de nouvelles hausses d’impôts (liées à la guerre de Trente ans) mettent le feu aux poudres entre Mazarin et le Parlement</w:t>
      </w:r>
      <w:r w:rsidRPr="005F6B9A">
        <w:rPr>
          <w:sz w:val="24"/>
        </w:rPr>
        <w:t xml:space="preserve"> ». La seconde formule est non seulement plus simple, mais aussi plus complète, parce que les mots compliqués ont laissé la place... à des éléments factuels. </w:t>
      </w:r>
    </w:p>
    <w:p w14:paraId="3B0D4DBB" w14:textId="77777777" w:rsidR="009A4C56" w:rsidRPr="00A82AFB" w:rsidRDefault="009A4C56" w:rsidP="009A4C56">
      <w:pPr>
        <w:rPr>
          <w:sz w:val="24"/>
        </w:rPr>
      </w:pPr>
      <w:r>
        <w:rPr>
          <w:sz w:val="24"/>
        </w:rPr>
        <w:t>Pour vous aider, voici quelques cas de phrases corrigées. Par exemple, « </w:t>
      </w:r>
      <w:r w:rsidRPr="00A82AFB">
        <w:rPr>
          <w:i/>
          <w:sz w:val="24"/>
        </w:rPr>
        <w:t>cette mazarinade est rédigée dans un contexte de Fronde qui a lieu entre 1648 et 1652</w:t>
      </w:r>
      <w:r>
        <w:rPr>
          <w:sz w:val="24"/>
        </w:rPr>
        <w:t> » devient « </w:t>
      </w:r>
      <w:r w:rsidRPr="00A82AFB">
        <w:rPr>
          <w:i/>
          <w:sz w:val="24"/>
        </w:rPr>
        <w:t>Cette mazarinade est rédigée pendant la Fronde (1648-1652)</w:t>
      </w:r>
      <w:r>
        <w:rPr>
          <w:sz w:val="24"/>
        </w:rPr>
        <w:t> ». De même, « </w:t>
      </w:r>
      <w:r w:rsidRPr="00A82AFB">
        <w:rPr>
          <w:i/>
          <w:sz w:val="24"/>
        </w:rPr>
        <w:t>C’est ainsi que 5000 mazarinades vont être écrites entre 1648 et 1652, dont 1200 vont être faites entre janvier et avril</w:t>
      </w:r>
      <w:r>
        <w:rPr>
          <w:sz w:val="24"/>
        </w:rPr>
        <w:t> » peut s’écrire « </w:t>
      </w:r>
      <w:r w:rsidRPr="00A82AFB">
        <w:rPr>
          <w:i/>
          <w:sz w:val="24"/>
        </w:rPr>
        <w:t>Au total, 5000 mazarinades sont écrites entre 1648 et 1652,</w:t>
      </w:r>
      <w:r>
        <w:rPr>
          <w:rFonts w:ascii="MS Mincho" w:eastAsia="MS Mincho" w:hAnsi="MS Mincho" w:cs="MS Mincho" w:hint="eastAsia"/>
          <w:i/>
          <w:sz w:val="24"/>
        </w:rPr>
        <w:t xml:space="preserve"> </w:t>
      </w:r>
      <w:r w:rsidRPr="00A82AFB">
        <w:rPr>
          <w:i/>
          <w:sz w:val="24"/>
        </w:rPr>
        <w:t>dont 1200 entre janvier et avril 1649</w:t>
      </w:r>
      <w:r>
        <w:rPr>
          <w:sz w:val="24"/>
        </w:rPr>
        <w:t> ». Évitez également, quand vous présentez l’auteur ou tout autre acteur historique, d’écrire une phrase du type « </w:t>
      </w:r>
      <w:r w:rsidRPr="00A82AFB">
        <w:rPr>
          <w:i/>
          <w:sz w:val="24"/>
        </w:rPr>
        <w:t>Anne de Pisseleu est née en 1508 et morte en 1580</w:t>
      </w:r>
      <w:r>
        <w:rPr>
          <w:sz w:val="24"/>
        </w:rPr>
        <w:t> ». Préférez un sobre « </w:t>
      </w:r>
      <w:r w:rsidRPr="00A82AFB">
        <w:rPr>
          <w:i/>
          <w:sz w:val="24"/>
        </w:rPr>
        <w:t>Anne de Pisseleu (1508-1580), (...)</w:t>
      </w:r>
      <w:r>
        <w:rPr>
          <w:sz w:val="24"/>
        </w:rPr>
        <w:t xml:space="preserve"> ». Ce sont ces coquilles qu’il faut vous employer à réduire pour </w:t>
      </w:r>
      <w:r>
        <w:rPr>
          <w:b/>
          <w:sz w:val="24"/>
        </w:rPr>
        <w:t>densifier votre écriture</w:t>
      </w:r>
      <w:r>
        <w:rPr>
          <w:sz w:val="24"/>
        </w:rPr>
        <w:t xml:space="preserve">. Si cela peut apparaître paradoxal au premier abord, </w:t>
      </w:r>
      <w:r w:rsidRPr="007B04AC">
        <w:rPr>
          <w:sz w:val="24"/>
          <w:u w:val="single"/>
        </w:rPr>
        <w:t>les copies écrites le plus simplement sont aussi les plus complètes</w:t>
      </w:r>
      <w:r>
        <w:rPr>
          <w:sz w:val="24"/>
        </w:rPr>
        <w:t xml:space="preserve"> : les mots « inutiles » sont remplacés par des faits et des réflexions qui apportent toute son ampleur à la démonstration. </w:t>
      </w:r>
    </w:p>
    <w:p w14:paraId="086BC512" w14:textId="77777777" w:rsidR="009A4C56" w:rsidRPr="009A4C56" w:rsidRDefault="009A4C56" w:rsidP="009A4C56">
      <w:pPr>
        <w:rPr>
          <w:sz w:val="24"/>
        </w:rPr>
      </w:pPr>
      <w:r w:rsidRPr="005F6B9A">
        <w:rPr>
          <w:sz w:val="24"/>
        </w:rPr>
        <w:t xml:space="preserve">Pour finir, voici quelques rappels, selon trois catégories. Sont TOTALEMENT </w:t>
      </w:r>
      <w:r>
        <w:rPr>
          <w:sz w:val="24"/>
        </w:rPr>
        <w:t>PROHIBÉS</w:t>
      </w:r>
      <w:r w:rsidRPr="005F6B9A">
        <w:rPr>
          <w:sz w:val="24"/>
        </w:rPr>
        <w:t xml:space="preserve"> : l’usage du futur (aller + indicatif étant un futur déguisé), les jugements de valeur (allant de « c’est vachement bien pour l’époque » à « ils pourraient tout de même faire preuve de plus d’ouverture d’esprit ») ou encore les démonstrations à caractère téléologique (vous n’êtes pas Madame Irma, le but n’est pas d’expliquer ce qu’il se passe </w:t>
      </w:r>
      <w:r w:rsidRPr="005F6B9A">
        <w:rPr>
          <w:i/>
          <w:sz w:val="24"/>
        </w:rPr>
        <w:t>après</w:t>
      </w:r>
      <w:r w:rsidRPr="005F6B9A">
        <w:rPr>
          <w:sz w:val="24"/>
        </w:rPr>
        <w:t xml:space="preserve"> les faits commentés).  Il est DANGEREUX d’écrire vos copies au passé, tout bonnement parce que vous ne maitrisez généralement pas le passé simple, sans parler du subjonctif imparfait, que vous seriez amenés à employer pour chaque subordonnée. Les subordonnées justement sont des formes syntaxiques que vous maitrisez peu. Faites des phrases simples (le fameux sujet, verbe, complément). Il est en revanche TRÈS BIEN VU d’</w:t>
      </w:r>
      <w:r w:rsidRPr="005F6B9A">
        <w:rPr>
          <w:sz w:val="24"/>
          <w:u w:val="single"/>
        </w:rPr>
        <w:t>utiliser le conditionnel lorsque vous interprétez un document</w:t>
      </w:r>
      <w:r w:rsidRPr="005F6B9A">
        <w:rPr>
          <w:sz w:val="24"/>
        </w:rPr>
        <w:t xml:space="preserve"> (c’est une preuve d’humilité) ; de même que d’</w:t>
      </w:r>
      <w:r w:rsidRPr="005F6B9A">
        <w:rPr>
          <w:sz w:val="24"/>
          <w:u w:val="single"/>
        </w:rPr>
        <w:t>employer des phrases courtes</w:t>
      </w:r>
      <w:r w:rsidRPr="005F6B9A">
        <w:rPr>
          <w:sz w:val="24"/>
        </w:rPr>
        <w:t xml:space="preserve"> et de s’</w:t>
      </w:r>
      <w:r w:rsidRPr="005F6B9A">
        <w:rPr>
          <w:sz w:val="24"/>
          <w:u w:val="single"/>
        </w:rPr>
        <w:t>appuyer systématiquement sur des faits</w:t>
      </w:r>
      <w:r w:rsidRPr="005F6B9A">
        <w:rPr>
          <w:sz w:val="24"/>
        </w:rPr>
        <w:t xml:space="preserve">. </w:t>
      </w:r>
    </w:p>
    <w:p w14:paraId="2973F79E" w14:textId="77777777" w:rsidR="004C5790" w:rsidRPr="004C5790" w:rsidRDefault="004C5790" w:rsidP="004C5790"/>
    <w:p w14:paraId="60EF2517" w14:textId="77777777" w:rsidR="00B26EBC" w:rsidRDefault="00B26EBC" w:rsidP="006D16FE">
      <w:pPr>
        <w:pStyle w:val="Sansinterligne"/>
        <w:rPr>
          <w:rFonts w:cs="Times New Roman"/>
          <w:sz w:val="24"/>
        </w:rPr>
      </w:pPr>
    </w:p>
    <w:p w14:paraId="516EC224" w14:textId="77777777" w:rsidR="00703939" w:rsidRDefault="00703939">
      <w:pPr>
        <w:spacing w:before="0" w:after="0" w:line="240" w:lineRule="auto"/>
        <w:ind w:firstLine="0"/>
        <w:jc w:val="left"/>
        <w:rPr>
          <w:rFonts w:cs="Times New Roman"/>
          <w:b/>
          <w:sz w:val="24"/>
        </w:rPr>
      </w:pPr>
      <w:r>
        <w:rPr>
          <w:rFonts w:cs="Times New Roman"/>
          <w:sz w:val="24"/>
        </w:rPr>
        <w:br w:type="page"/>
      </w:r>
    </w:p>
    <w:p w14:paraId="211AB04D" w14:textId="77777777" w:rsidR="006D16FE" w:rsidRDefault="006D16FE" w:rsidP="006D16FE">
      <w:pPr>
        <w:pStyle w:val="Sansinterligne"/>
        <w:rPr>
          <w:rFonts w:cs="Times New Roman"/>
          <w:sz w:val="24"/>
        </w:rPr>
      </w:pPr>
      <w:r w:rsidRPr="00607133">
        <w:rPr>
          <w:rFonts w:cs="Times New Roman"/>
          <w:sz w:val="24"/>
        </w:rPr>
        <w:lastRenderedPageBreak/>
        <w:t>Bibliographie générale</w:t>
      </w:r>
      <w:r w:rsidR="00B26EBC">
        <w:rPr>
          <w:rFonts w:cs="Times New Roman"/>
          <w:sz w:val="24"/>
        </w:rPr>
        <w:t xml:space="preserve"> : le royaume de France </w:t>
      </w:r>
      <w:r w:rsidR="00703939">
        <w:rPr>
          <w:rFonts w:cs="Times New Roman"/>
          <w:sz w:val="24"/>
        </w:rPr>
        <w:t xml:space="preserve">entre absolutisme et Lumières </w:t>
      </w:r>
    </w:p>
    <w:p w14:paraId="17EA4FEB" w14:textId="77777777" w:rsidR="008B1B81" w:rsidRPr="008B1B81" w:rsidRDefault="008B1B81" w:rsidP="008B1B81">
      <w:pPr>
        <w:ind w:firstLine="0"/>
        <w:rPr>
          <w:rFonts w:cs="Times New Roman"/>
        </w:rPr>
      </w:pPr>
      <w:r w:rsidRPr="008B1B81">
        <w:rPr>
          <w:rFonts w:cs="Times New Roman"/>
        </w:rPr>
        <w:t>Des bibliographies spécifiques à chaque document étudié au cours du semestre sont distillées le long du fichier de TD. Les références ci-dessous constituent les instruments de base et à jour pour étudier l’histoire de la France du milieu du XVII</w:t>
      </w:r>
      <w:r w:rsidRPr="008B1B81">
        <w:rPr>
          <w:rFonts w:cs="Times New Roman"/>
          <w:vertAlign w:val="superscript"/>
        </w:rPr>
        <w:t>e</w:t>
      </w:r>
      <w:r w:rsidRPr="008B1B81">
        <w:rPr>
          <w:rFonts w:cs="Times New Roman"/>
        </w:rPr>
        <w:t xml:space="preserve"> à la fin du XVIII</w:t>
      </w:r>
      <w:r w:rsidRPr="008B1B81">
        <w:rPr>
          <w:rFonts w:cs="Times New Roman"/>
          <w:vertAlign w:val="superscript"/>
        </w:rPr>
        <w:t>e</w:t>
      </w:r>
      <w:r w:rsidRPr="008B1B81">
        <w:rPr>
          <w:rFonts w:cs="Times New Roman"/>
        </w:rPr>
        <w:t xml:space="preserve"> siècle. </w:t>
      </w:r>
    </w:p>
    <w:p w14:paraId="1308AAF6" w14:textId="77777777" w:rsidR="008B1B81" w:rsidRPr="008B1B81" w:rsidRDefault="008B1B81" w:rsidP="008B1B81">
      <w:pPr>
        <w:pStyle w:val="Sansinterligne"/>
        <w:rPr>
          <w:lang w:eastAsia="fr-FR"/>
        </w:rPr>
      </w:pPr>
      <w:r>
        <w:rPr>
          <w:lang w:eastAsia="fr-FR"/>
        </w:rPr>
        <w:t>Instruments de travail</w:t>
      </w:r>
    </w:p>
    <w:p w14:paraId="4E9368DF" w14:textId="77777777" w:rsidR="008B1B81" w:rsidRPr="002069AB" w:rsidRDefault="008B1B81" w:rsidP="008B1B81">
      <w:pPr>
        <w:pStyle w:val="Titre1"/>
        <w:rPr>
          <w:sz w:val="21"/>
          <w:szCs w:val="21"/>
        </w:rPr>
      </w:pPr>
      <w:r w:rsidRPr="002069AB">
        <w:rPr>
          <w:sz w:val="21"/>
          <w:szCs w:val="21"/>
          <w:lang w:eastAsia="fr-FR"/>
        </w:rPr>
        <w:t>Dictionnaires et lexiques</w:t>
      </w:r>
    </w:p>
    <w:p w14:paraId="082B141F" w14:textId="77777777" w:rsidR="008B1B81" w:rsidRPr="00D256FE" w:rsidRDefault="00E01E98" w:rsidP="008B1B81">
      <w:pPr>
        <w:pStyle w:val="Biblio"/>
        <w:rPr>
          <w:rFonts w:cs="Times New Roman"/>
          <w:b/>
          <w:sz w:val="21"/>
          <w:szCs w:val="21"/>
          <w:lang w:eastAsia="fr-FR"/>
        </w:rPr>
      </w:pPr>
      <w:r w:rsidRPr="00D256FE">
        <w:rPr>
          <w:rFonts w:cs="Times New Roman"/>
          <w:b/>
          <w:smallCaps/>
          <w:sz w:val="21"/>
          <w:szCs w:val="21"/>
          <w:lang w:eastAsia="fr-FR"/>
        </w:rPr>
        <w:t>***</w:t>
      </w:r>
      <w:proofErr w:type="spellStart"/>
      <w:r w:rsidR="008B1B81" w:rsidRPr="00D256FE">
        <w:rPr>
          <w:rFonts w:cs="Times New Roman"/>
          <w:b/>
          <w:smallCaps/>
          <w:sz w:val="21"/>
          <w:szCs w:val="21"/>
          <w:lang w:eastAsia="fr-FR"/>
        </w:rPr>
        <w:t>Bély</w:t>
      </w:r>
      <w:proofErr w:type="spellEnd"/>
      <w:r w:rsidR="008B1B81" w:rsidRPr="00D256FE">
        <w:rPr>
          <w:rFonts w:cs="Times New Roman"/>
          <w:b/>
          <w:smallCaps/>
          <w:sz w:val="21"/>
          <w:szCs w:val="21"/>
          <w:lang w:eastAsia="fr-FR"/>
        </w:rPr>
        <w:t xml:space="preserve">, </w:t>
      </w:r>
      <w:r w:rsidR="008B1B81" w:rsidRPr="00D256FE">
        <w:rPr>
          <w:rFonts w:cs="Times New Roman"/>
          <w:b/>
          <w:sz w:val="21"/>
          <w:szCs w:val="21"/>
          <w:lang w:eastAsia="fr-FR"/>
        </w:rPr>
        <w:t xml:space="preserve">Lucien (dir.), </w:t>
      </w:r>
      <w:r w:rsidR="008B1B81" w:rsidRPr="00D256FE">
        <w:rPr>
          <w:rFonts w:cs="Times New Roman"/>
          <w:b/>
          <w:i/>
          <w:sz w:val="21"/>
          <w:szCs w:val="21"/>
          <w:lang w:eastAsia="fr-FR"/>
        </w:rPr>
        <w:t>Dictionnaire de l’Ancien Régime</w:t>
      </w:r>
      <w:r w:rsidR="008B1B81" w:rsidRPr="00D256FE">
        <w:rPr>
          <w:rFonts w:cs="Times New Roman"/>
          <w:b/>
          <w:sz w:val="21"/>
          <w:szCs w:val="21"/>
          <w:lang w:eastAsia="fr-FR"/>
        </w:rPr>
        <w:t>, Paris, Presses universitaires de France, 1996.</w:t>
      </w:r>
    </w:p>
    <w:p w14:paraId="77AFAC52" w14:textId="77777777" w:rsidR="008B1B81" w:rsidRPr="00D256FE" w:rsidRDefault="00E01E98" w:rsidP="008B1B81">
      <w:pPr>
        <w:pStyle w:val="Biblio"/>
        <w:rPr>
          <w:rFonts w:cs="Times New Roman"/>
          <w:b/>
          <w:sz w:val="21"/>
          <w:szCs w:val="21"/>
        </w:rPr>
      </w:pPr>
      <w:r w:rsidRPr="00D256FE">
        <w:rPr>
          <w:rFonts w:cs="Times New Roman"/>
          <w:b/>
          <w:smallCaps/>
          <w:sz w:val="21"/>
          <w:szCs w:val="21"/>
        </w:rPr>
        <w:t>***</w:t>
      </w:r>
      <w:proofErr w:type="spellStart"/>
      <w:r w:rsidR="008B1B81" w:rsidRPr="00D256FE">
        <w:rPr>
          <w:rFonts w:cs="Times New Roman"/>
          <w:b/>
          <w:smallCaps/>
          <w:sz w:val="21"/>
          <w:szCs w:val="21"/>
        </w:rPr>
        <w:t>Bély</w:t>
      </w:r>
      <w:proofErr w:type="spellEnd"/>
      <w:r w:rsidR="008B1B81" w:rsidRPr="00D256FE">
        <w:rPr>
          <w:rFonts w:cs="Times New Roman"/>
          <w:b/>
          <w:sz w:val="21"/>
          <w:szCs w:val="21"/>
        </w:rPr>
        <w:t xml:space="preserve">, Lucien (dir.), </w:t>
      </w:r>
      <w:r w:rsidR="008B1B81" w:rsidRPr="00D256FE">
        <w:rPr>
          <w:rFonts w:cs="Times New Roman"/>
          <w:b/>
          <w:i/>
          <w:sz w:val="21"/>
          <w:szCs w:val="21"/>
        </w:rPr>
        <w:t>Dictionnaire Louis XIV</w:t>
      </w:r>
      <w:r w:rsidR="008B1B81" w:rsidRPr="00D256FE">
        <w:rPr>
          <w:rFonts w:cs="Times New Roman"/>
          <w:b/>
          <w:sz w:val="21"/>
          <w:szCs w:val="21"/>
        </w:rPr>
        <w:t xml:space="preserve">, Paris, Robert Laffont, 2015. </w:t>
      </w:r>
    </w:p>
    <w:p w14:paraId="2972B56F" w14:textId="77777777" w:rsidR="008B1B81" w:rsidRPr="00D256FE" w:rsidRDefault="00E01E98" w:rsidP="008B1B81">
      <w:pPr>
        <w:pStyle w:val="Biblio"/>
        <w:rPr>
          <w:b/>
          <w:sz w:val="21"/>
          <w:szCs w:val="21"/>
        </w:rPr>
      </w:pPr>
      <w:r w:rsidRPr="00D256FE">
        <w:rPr>
          <w:rFonts w:cs="Times New Roman"/>
          <w:b/>
          <w:smallCaps/>
          <w:sz w:val="21"/>
          <w:szCs w:val="21"/>
          <w:lang w:eastAsia="fr-FR"/>
        </w:rPr>
        <w:t>***</w:t>
      </w:r>
      <w:proofErr w:type="spellStart"/>
      <w:r w:rsidR="008B1B81" w:rsidRPr="00D256FE">
        <w:rPr>
          <w:rFonts w:cs="Times New Roman"/>
          <w:b/>
          <w:smallCaps/>
          <w:sz w:val="21"/>
          <w:szCs w:val="21"/>
          <w:lang w:eastAsia="fr-FR"/>
        </w:rPr>
        <w:t>Bluche</w:t>
      </w:r>
      <w:proofErr w:type="spellEnd"/>
      <w:r w:rsidR="008B1B81" w:rsidRPr="00D256FE">
        <w:rPr>
          <w:rFonts w:cs="Times New Roman"/>
          <w:b/>
          <w:sz w:val="21"/>
          <w:szCs w:val="21"/>
          <w:lang w:eastAsia="fr-FR"/>
        </w:rPr>
        <w:t xml:space="preserve">, François (dir.), </w:t>
      </w:r>
      <w:r w:rsidR="008B1B81" w:rsidRPr="00D256FE">
        <w:rPr>
          <w:rFonts w:cs="Times New Roman"/>
          <w:b/>
          <w:i/>
          <w:sz w:val="21"/>
          <w:szCs w:val="21"/>
          <w:lang w:eastAsia="fr-FR"/>
        </w:rPr>
        <w:t>Dictionnaire du Grand Siècle</w:t>
      </w:r>
      <w:r w:rsidR="008B1B81" w:rsidRPr="00D256FE">
        <w:rPr>
          <w:rFonts w:cs="Times New Roman"/>
          <w:b/>
          <w:sz w:val="21"/>
          <w:szCs w:val="21"/>
          <w:lang w:eastAsia="fr-FR"/>
        </w:rPr>
        <w:t>, Paris, Fayard, 1990.</w:t>
      </w:r>
    </w:p>
    <w:p w14:paraId="30A72FAD" w14:textId="77777777" w:rsidR="008B1B81" w:rsidRPr="002069AB" w:rsidRDefault="008B1B81" w:rsidP="008B1B81">
      <w:pPr>
        <w:pStyle w:val="Biblio"/>
        <w:rPr>
          <w:sz w:val="21"/>
          <w:szCs w:val="21"/>
        </w:rPr>
      </w:pPr>
      <w:r w:rsidRPr="002069AB">
        <w:rPr>
          <w:rFonts w:cs="Times New Roman"/>
          <w:smallCaps/>
          <w:sz w:val="21"/>
          <w:szCs w:val="21"/>
          <w:lang w:eastAsia="fr-FR"/>
        </w:rPr>
        <w:t>Cabourdin</w:t>
      </w:r>
      <w:r w:rsidRPr="002069AB">
        <w:rPr>
          <w:rFonts w:cs="Times New Roman"/>
          <w:sz w:val="21"/>
          <w:szCs w:val="21"/>
          <w:lang w:eastAsia="fr-FR"/>
        </w:rPr>
        <w:t xml:space="preserve">, Guy, </w:t>
      </w:r>
      <w:r w:rsidRPr="002069AB">
        <w:rPr>
          <w:rFonts w:cs="Times New Roman"/>
          <w:smallCaps/>
          <w:sz w:val="21"/>
          <w:szCs w:val="21"/>
          <w:lang w:eastAsia="fr-FR"/>
        </w:rPr>
        <w:t>Viard</w:t>
      </w:r>
      <w:r w:rsidRPr="002069AB">
        <w:rPr>
          <w:rFonts w:cs="Times New Roman"/>
          <w:sz w:val="21"/>
          <w:szCs w:val="21"/>
          <w:lang w:eastAsia="fr-FR"/>
        </w:rPr>
        <w:t xml:space="preserve">, Georges, </w:t>
      </w:r>
      <w:r w:rsidRPr="002069AB">
        <w:rPr>
          <w:rFonts w:cs="Times New Roman"/>
          <w:i/>
          <w:sz w:val="21"/>
          <w:szCs w:val="21"/>
          <w:lang w:eastAsia="fr-FR"/>
        </w:rPr>
        <w:t>Lexique historique de la France d’Ancien Régime</w:t>
      </w:r>
      <w:r w:rsidRPr="002069AB">
        <w:rPr>
          <w:rFonts w:cs="Times New Roman"/>
          <w:sz w:val="21"/>
          <w:szCs w:val="21"/>
          <w:lang w:eastAsia="fr-FR"/>
        </w:rPr>
        <w:t>, Paris, Armand Colin, 2012.</w:t>
      </w:r>
    </w:p>
    <w:p w14:paraId="18DCDD36" w14:textId="77777777" w:rsidR="008B1B81" w:rsidRPr="002069AB" w:rsidRDefault="008B1B81" w:rsidP="008B1B81">
      <w:pPr>
        <w:pStyle w:val="Biblio"/>
        <w:rPr>
          <w:sz w:val="21"/>
          <w:szCs w:val="21"/>
        </w:rPr>
      </w:pPr>
      <w:r w:rsidRPr="002069AB">
        <w:rPr>
          <w:rFonts w:cs="Times New Roman"/>
          <w:smallCaps/>
          <w:sz w:val="21"/>
          <w:szCs w:val="21"/>
          <w:lang w:eastAsia="fr-FR"/>
        </w:rPr>
        <w:t>Delon</w:t>
      </w:r>
      <w:r w:rsidRPr="002069AB">
        <w:rPr>
          <w:rFonts w:cs="Times New Roman"/>
          <w:sz w:val="21"/>
          <w:szCs w:val="21"/>
          <w:lang w:eastAsia="fr-FR"/>
        </w:rPr>
        <w:t xml:space="preserve">, Michel (dir.), </w:t>
      </w:r>
      <w:r w:rsidRPr="002069AB">
        <w:rPr>
          <w:rFonts w:cs="Times New Roman"/>
          <w:i/>
          <w:sz w:val="21"/>
          <w:szCs w:val="21"/>
          <w:lang w:eastAsia="fr-FR"/>
        </w:rPr>
        <w:t>Dictionnaire européen des Lumières</w:t>
      </w:r>
      <w:r w:rsidRPr="002069AB">
        <w:rPr>
          <w:rFonts w:cs="Times New Roman"/>
          <w:sz w:val="21"/>
          <w:szCs w:val="21"/>
          <w:lang w:eastAsia="fr-FR"/>
        </w:rPr>
        <w:t>, Paris, Presses universitaires de France, 1997.</w:t>
      </w:r>
    </w:p>
    <w:p w14:paraId="6C1F2087" w14:textId="77777777" w:rsidR="008B1B81" w:rsidRPr="002069AB" w:rsidRDefault="008B1B81" w:rsidP="008B1B81">
      <w:pPr>
        <w:pStyle w:val="Biblio"/>
        <w:rPr>
          <w:sz w:val="21"/>
          <w:szCs w:val="21"/>
        </w:rPr>
      </w:pPr>
      <w:proofErr w:type="spellStart"/>
      <w:r w:rsidRPr="002069AB">
        <w:rPr>
          <w:rFonts w:cs="Times New Roman"/>
          <w:smallCaps/>
          <w:sz w:val="21"/>
          <w:szCs w:val="21"/>
          <w:lang w:eastAsia="fr-FR"/>
        </w:rPr>
        <w:t>Delsalle</w:t>
      </w:r>
      <w:proofErr w:type="spellEnd"/>
      <w:r w:rsidR="002069AB" w:rsidRPr="002069AB">
        <w:rPr>
          <w:rFonts w:cs="Times New Roman"/>
          <w:sz w:val="21"/>
          <w:szCs w:val="21"/>
          <w:lang w:eastAsia="fr-FR"/>
        </w:rPr>
        <w:t xml:space="preserve">, </w:t>
      </w:r>
      <w:r w:rsidRPr="002069AB">
        <w:rPr>
          <w:rFonts w:cs="Times New Roman"/>
          <w:sz w:val="21"/>
          <w:szCs w:val="21"/>
          <w:lang w:eastAsia="fr-FR"/>
        </w:rPr>
        <w:t xml:space="preserve">Paul, </w:t>
      </w:r>
      <w:r w:rsidRPr="002069AB">
        <w:rPr>
          <w:rFonts w:cs="Times New Roman"/>
          <w:i/>
          <w:sz w:val="21"/>
          <w:szCs w:val="21"/>
          <w:lang w:eastAsia="fr-FR"/>
        </w:rPr>
        <w:t>Vocabulaire historique de la France moderne</w:t>
      </w:r>
      <w:r w:rsidRPr="002069AB">
        <w:rPr>
          <w:rFonts w:cs="Times New Roman"/>
          <w:sz w:val="21"/>
          <w:szCs w:val="21"/>
          <w:lang w:eastAsia="fr-FR"/>
        </w:rPr>
        <w:t>, Paris, Armand Colin, 2005.</w:t>
      </w:r>
    </w:p>
    <w:p w14:paraId="012FD8ED" w14:textId="77777777" w:rsidR="008B1B81" w:rsidRPr="002069AB" w:rsidRDefault="008B1B81" w:rsidP="008B1B81">
      <w:pPr>
        <w:pStyle w:val="Titre1"/>
        <w:rPr>
          <w:sz w:val="21"/>
          <w:szCs w:val="21"/>
        </w:rPr>
      </w:pPr>
      <w:r w:rsidRPr="002069AB">
        <w:rPr>
          <w:sz w:val="21"/>
          <w:szCs w:val="21"/>
          <w:lang w:eastAsia="fr-FR"/>
        </w:rPr>
        <w:t>Chronologie événementielle</w:t>
      </w:r>
    </w:p>
    <w:p w14:paraId="23A1B592" w14:textId="77777777" w:rsidR="008B1B81" w:rsidRPr="002069AB" w:rsidRDefault="008B1B81" w:rsidP="008B1B81">
      <w:pPr>
        <w:pStyle w:val="Biblio"/>
        <w:rPr>
          <w:rFonts w:cs="Times New Roman"/>
          <w:sz w:val="21"/>
          <w:szCs w:val="21"/>
          <w:lang w:eastAsia="fr-FR"/>
        </w:rPr>
      </w:pPr>
      <w:proofErr w:type="spellStart"/>
      <w:r w:rsidRPr="002069AB">
        <w:rPr>
          <w:rFonts w:cs="Times New Roman"/>
          <w:smallCaps/>
          <w:sz w:val="21"/>
          <w:szCs w:val="21"/>
          <w:lang w:eastAsia="fr-FR"/>
        </w:rPr>
        <w:t>Bély</w:t>
      </w:r>
      <w:proofErr w:type="spellEnd"/>
      <w:r w:rsidRPr="002069AB">
        <w:rPr>
          <w:rFonts w:cs="Times New Roman"/>
          <w:sz w:val="21"/>
          <w:szCs w:val="21"/>
          <w:lang w:eastAsia="fr-FR"/>
        </w:rPr>
        <w:t xml:space="preserve">, Lucien, </w:t>
      </w:r>
      <w:r w:rsidRPr="002069AB">
        <w:rPr>
          <w:rFonts w:cs="Times New Roman"/>
          <w:i/>
          <w:sz w:val="21"/>
          <w:szCs w:val="21"/>
          <w:lang w:eastAsia="fr-FR"/>
        </w:rPr>
        <w:t>La France moderne : 1498-1789,</w:t>
      </w:r>
      <w:r w:rsidRPr="002069AB">
        <w:rPr>
          <w:rFonts w:cs="Times New Roman"/>
          <w:sz w:val="21"/>
          <w:szCs w:val="21"/>
          <w:lang w:eastAsia="fr-FR"/>
        </w:rPr>
        <w:t xml:space="preserve"> Paris, Presses universitaires de France, 2003.</w:t>
      </w:r>
    </w:p>
    <w:p w14:paraId="0DBF61BC" w14:textId="77777777" w:rsidR="008B1B81" w:rsidRPr="00D256FE" w:rsidRDefault="008B1B81" w:rsidP="008B1B81">
      <w:pPr>
        <w:pStyle w:val="Biblio"/>
        <w:rPr>
          <w:rFonts w:cs="Times New Roman"/>
          <w:b/>
          <w:sz w:val="21"/>
          <w:szCs w:val="21"/>
        </w:rPr>
      </w:pPr>
      <w:r w:rsidRPr="00D256FE">
        <w:rPr>
          <w:rFonts w:cs="Times New Roman"/>
          <w:b/>
          <w:smallCaps/>
          <w:sz w:val="21"/>
          <w:szCs w:val="21"/>
        </w:rPr>
        <w:t>**Beaurepaire</w:t>
      </w:r>
      <w:r w:rsidRPr="00D256FE">
        <w:rPr>
          <w:rFonts w:cs="Times New Roman"/>
          <w:b/>
          <w:sz w:val="21"/>
          <w:szCs w:val="21"/>
        </w:rPr>
        <w:t xml:space="preserve">, Pierre-Yves, </w:t>
      </w:r>
      <w:r w:rsidRPr="00D256FE">
        <w:rPr>
          <w:rFonts w:cs="Times New Roman"/>
          <w:b/>
          <w:i/>
          <w:sz w:val="21"/>
          <w:szCs w:val="21"/>
        </w:rPr>
        <w:t>La France des Lumières (1715-1789)</w:t>
      </w:r>
      <w:r w:rsidRPr="00D256FE">
        <w:rPr>
          <w:rFonts w:cs="Times New Roman"/>
          <w:b/>
          <w:sz w:val="21"/>
          <w:szCs w:val="21"/>
        </w:rPr>
        <w:t xml:space="preserve">, Paris, Belin, 2011. </w:t>
      </w:r>
    </w:p>
    <w:p w14:paraId="0215110D" w14:textId="77777777" w:rsidR="008B1B81" w:rsidRPr="00D256FE" w:rsidRDefault="008B1B81" w:rsidP="008B1B81">
      <w:pPr>
        <w:pStyle w:val="Biblio"/>
        <w:rPr>
          <w:rFonts w:cs="Times New Roman"/>
          <w:b/>
          <w:sz w:val="21"/>
          <w:szCs w:val="21"/>
        </w:rPr>
      </w:pPr>
      <w:r w:rsidRPr="00D256FE">
        <w:rPr>
          <w:rFonts w:cs="Times New Roman"/>
          <w:b/>
          <w:smallCaps/>
          <w:sz w:val="21"/>
          <w:szCs w:val="21"/>
        </w:rPr>
        <w:t>**</w:t>
      </w:r>
      <w:proofErr w:type="spellStart"/>
      <w:r w:rsidRPr="00D256FE">
        <w:rPr>
          <w:rFonts w:cs="Times New Roman"/>
          <w:b/>
          <w:smallCaps/>
          <w:sz w:val="21"/>
          <w:szCs w:val="21"/>
        </w:rPr>
        <w:t>Drévillon</w:t>
      </w:r>
      <w:proofErr w:type="spellEnd"/>
      <w:r w:rsidRPr="00D256FE">
        <w:rPr>
          <w:rFonts w:cs="Times New Roman"/>
          <w:b/>
          <w:sz w:val="21"/>
          <w:szCs w:val="21"/>
        </w:rPr>
        <w:t xml:space="preserve">, Hervé, </w:t>
      </w:r>
      <w:r w:rsidRPr="00D256FE">
        <w:rPr>
          <w:rFonts w:cs="Times New Roman"/>
          <w:b/>
          <w:i/>
          <w:sz w:val="21"/>
          <w:szCs w:val="21"/>
        </w:rPr>
        <w:t>Les Rois absolus (1629-1715)</w:t>
      </w:r>
      <w:r w:rsidRPr="00D256FE">
        <w:rPr>
          <w:rFonts w:cs="Times New Roman"/>
          <w:b/>
          <w:sz w:val="21"/>
          <w:szCs w:val="21"/>
        </w:rPr>
        <w:t xml:space="preserve">, Paris, Belin, 2011. </w:t>
      </w:r>
    </w:p>
    <w:p w14:paraId="7D3BCDD6" w14:textId="77777777" w:rsidR="008B1B81" w:rsidRPr="002069AB" w:rsidRDefault="008B1B81" w:rsidP="008B1B81">
      <w:pPr>
        <w:pStyle w:val="Biblio"/>
        <w:rPr>
          <w:rFonts w:cs="Times New Roman"/>
          <w:sz w:val="21"/>
          <w:szCs w:val="21"/>
        </w:rPr>
      </w:pPr>
      <w:r w:rsidRPr="002069AB">
        <w:rPr>
          <w:rFonts w:cs="Times New Roman"/>
          <w:smallCaps/>
          <w:sz w:val="21"/>
          <w:szCs w:val="21"/>
        </w:rPr>
        <w:t>Nassiet</w:t>
      </w:r>
      <w:r w:rsidRPr="002069AB">
        <w:rPr>
          <w:rFonts w:cs="Times New Roman"/>
          <w:sz w:val="21"/>
          <w:szCs w:val="21"/>
        </w:rPr>
        <w:t xml:space="preserve">, Michel, </w:t>
      </w:r>
      <w:r w:rsidRPr="002069AB">
        <w:rPr>
          <w:rFonts w:cs="Times New Roman"/>
          <w:i/>
          <w:sz w:val="21"/>
          <w:szCs w:val="21"/>
        </w:rPr>
        <w:t>La France au XVIIe siècle. Société, politique, cultures</w:t>
      </w:r>
      <w:r w:rsidRPr="002069AB">
        <w:rPr>
          <w:rFonts w:cs="Times New Roman"/>
          <w:sz w:val="21"/>
          <w:szCs w:val="21"/>
        </w:rPr>
        <w:t xml:space="preserve">, Paris, Belin, 2006. </w:t>
      </w:r>
    </w:p>
    <w:p w14:paraId="7A549672" w14:textId="77777777" w:rsidR="008B1B81" w:rsidRPr="002069AB" w:rsidRDefault="008B1B81" w:rsidP="008B1B81">
      <w:pPr>
        <w:pStyle w:val="Titre1"/>
        <w:rPr>
          <w:sz w:val="21"/>
          <w:szCs w:val="21"/>
          <w:lang w:eastAsia="fr-FR"/>
        </w:rPr>
      </w:pPr>
      <w:r w:rsidRPr="002069AB">
        <w:rPr>
          <w:sz w:val="21"/>
          <w:szCs w:val="21"/>
          <w:lang w:eastAsia="fr-FR"/>
        </w:rPr>
        <w:t>Atlas</w:t>
      </w:r>
    </w:p>
    <w:p w14:paraId="1A1C8AC7" w14:textId="77777777" w:rsidR="008B1B81" w:rsidRPr="002069AB" w:rsidRDefault="008B1B81" w:rsidP="002069AB">
      <w:pPr>
        <w:pStyle w:val="Biblio"/>
        <w:jc w:val="left"/>
        <w:rPr>
          <w:sz w:val="21"/>
          <w:szCs w:val="21"/>
        </w:rPr>
      </w:pPr>
      <w:proofErr w:type="spellStart"/>
      <w:r w:rsidRPr="002069AB">
        <w:rPr>
          <w:rFonts w:cs="Times New Roman"/>
          <w:smallCaps/>
          <w:sz w:val="21"/>
          <w:szCs w:val="21"/>
          <w:lang w:eastAsia="fr-FR"/>
        </w:rPr>
        <w:t>Boutier</w:t>
      </w:r>
      <w:proofErr w:type="spellEnd"/>
      <w:r w:rsidRPr="002069AB">
        <w:rPr>
          <w:rFonts w:cs="Times New Roman"/>
          <w:sz w:val="21"/>
          <w:szCs w:val="21"/>
          <w:lang w:eastAsia="fr-FR"/>
        </w:rPr>
        <w:t xml:space="preserve">, Jean, </w:t>
      </w:r>
      <w:r w:rsidRPr="002069AB">
        <w:rPr>
          <w:rFonts w:cs="Times New Roman"/>
          <w:smallCaps/>
          <w:sz w:val="21"/>
          <w:szCs w:val="21"/>
          <w:lang w:eastAsia="fr-FR"/>
        </w:rPr>
        <w:t>Balavoine</w:t>
      </w:r>
      <w:r w:rsidRPr="002069AB">
        <w:rPr>
          <w:rFonts w:cs="Times New Roman"/>
          <w:sz w:val="21"/>
          <w:szCs w:val="21"/>
          <w:lang w:eastAsia="fr-FR"/>
        </w:rPr>
        <w:t xml:space="preserve">, Guillaume, </w:t>
      </w:r>
      <w:r w:rsidRPr="002069AB">
        <w:rPr>
          <w:rStyle w:val="a-size-large"/>
          <w:i/>
          <w:color w:val="111111"/>
          <w:sz w:val="21"/>
          <w:szCs w:val="21"/>
          <w:lang w:eastAsia="fr-FR"/>
        </w:rPr>
        <w:t>Atlas de l'histoire de France : La France moderne XVI</w:t>
      </w:r>
      <w:r w:rsidRPr="002069AB">
        <w:rPr>
          <w:rStyle w:val="a-size-large"/>
          <w:i/>
          <w:color w:val="111111"/>
          <w:sz w:val="21"/>
          <w:szCs w:val="21"/>
          <w:vertAlign w:val="superscript"/>
          <w:lang w:eastAsia="fr-FR"/>
        </w:rPr>
        <w:t>e</w:t>
      </w:r>
      <w:r w:rsidRPr="002069AB">
        <w:rPr>
          <w:rStyle w:val="a-size-large"/>
          <w:i/>
          <w:color w:val="111111"/>
          <w:sz w:val="21"/>
          <w:szCs w:val="21"/>
          <w:lang w:eastAsia="fr-FR"/>
        </w:rPr>
        <w:t>-XIX</w:t>
      </w:r>
      <w:r w:rsidRPr="002069AB">
        <w:rPr>
          <w:rStyle w:val="a-size-large"/>
          <w:i/>
          <w:color w:val="111111"/>
          <w:sz w:val="21"/>
          <w:szCs w:val="21"/>
          <w:vertAlign w:val="superscript"/>
          <w:lang w:eastAsia="fr-FR"/>
        </w:rPr>
        <w:t>e</w:t>
      </w:r>
      <w:r w:rsidRPr="002069AB">
        <w:rPr>
          <w:rStyle w:val="a-size-large"/>
          <w:i/>
          <w:color w:val="111111"/>
          <w:sz w:val="21"/>
          <w:szCs w:val="21"/>
          <w:lang w:eastAsia="fr-FR"/>
        </w:rPr>
        <w:t xml:space="preserve"> siècle</w:t>
      </w:r>
      <w:r w:rsidRPr="002069AB">
        <w:rPr>
          <w:rStyle w:val="a-size-large"/>
          <w:color w:val="111111"/>
          <w:sz w:val="21"/>
          <w:szCs w:val="21"/>
          <w:lang w:eastAsia="fr-FR"/>
        </w:rPr>
        <w:t xml:space="preserve">, </w:t>
      </w:r>
      <w:r w:rsidR="002069AB">
        <w:rPr>
          <w:rStyle w:val="a-size-large"/>
          <w:color w:val="111111"/>
          <w:sz w:val="21"/>
          <w:szCs w:val="21"/>
          <w:lang w:eastAsia="fr-FR"/>
        </w:rPr>
        <w:br/>
      </w:r>
      <w:r w:rsidRPr="002069AB">
        <w:rPr>
          <w:rStyle w:val="a-size-large"/>
          <w:color w:val="111111"/>
          <w:sz w:val="21"/>
          <w:szCs w:val="21"/>
          <w:lang w:eastAsia="fr-FR"/>
        </w:rPr>
        <w:t xml:space="preserve">Paris, Autrement, 2006. </w:t>
      </w:r>
    </w:p>
    <w:p w14:paraId="5404B568" w14:textId="77777777" w:rsidR="008B1B81" w:rsidRPr="002069AB" w:rsidRDefault="008B1B81" w:rsidP="008B1B81">
      <w:pPr>
        <w:pStyle w:val="Biblio"/>
        <w:rPr>
          <w:b/>
          <w:sz w:val="21"/>
          <w:szCs w:val="21"/>
        </w:rPr>
      </w:pPr>
      <w:proofErr w:type="spellStart"/>
      <w:r w:rsidRPr="002069AB">
        <w:rPr>
          <w:rStyle w:val="lev"/>
          <w:rFonts w:cs="Times New Roman"/>
          <w:b w:val="0"/>
          <w:bCs/>
          <w:smallCaps/>
          <w:sz w:val="21"/>
          <w:szCs w:val="21"/>
          <w:lang w:eastAsia="fr-FR"/>
        </w:rPr>
        <w:t>Childs</w:t>
      </w:r>
      <w:proofErr w:type="spellEnd"/>
      <w:r w:rsidRPr="002069AB">
        <w:rPr>
          <w:rStyle w:val="lev"/>
          <w:rFonts w:cs="Times New Roman"/>
          <w:b w:val="0"/>
          <w:bCs/>
          <w:sz w:val="21"/>
          <w:szCs w:val="21"/>
          <w:lang w:eastAsia="fr-FR"/>
        </w:rPr>
        <w:t>, John, </w:t>
      </w:r>
      <w:r w:rsidRPr="002069AB">
        <w:rPr>
          <w:rStyle w:val="lev"/>
          <w:rFonts w:cs="Times New Roman"/>
          <w:b w:val="0"/>
          <w:bCs/>
          <w:i/>
          <w:sz w:val="21"/>
          <w:szCs w:val="21"/>
          <w:lang w:eastAsia="fr-FR"/>
        </w:rPr>
        <w:t>La guerre au XVII</w:t>
      </w:r>
      <w:r w:rsidRPr="002069AB">
        <w:rPr>
          <w:rStyle w:val="a-size-large"/>
          <w:b/>
          <w:i/>
          <w:color w:val="111111"/>
          <w:sz w:val="21"/>
          <w:szCs w:val="21"/>
          <w:vertAlign w:val="superscript"/>
          <w:lang w:eastAsia="fr-FR"/>
        </w:rPr>
        <w:t>e</w:t>
      </w:r>
      <w:r w:rsidRPr="002069AB">
        <w:rPr>
          <w:rStyle w:val="lev"/>
          <w:rFonts w:cs="Times New Roman"/>
          <w:b w:val="0"/>
          <w:bCs/>
          <w:i/>
          <w:sz w:val="21"/>
          <w:szCs w:val="21"/>
          <w:lang w:eastAsia="fr-FR"/>
        </w:rPr>
        <w:t xml:space="preserve"> siècle</w:t>
      </w:r>
      <w:r w:rsidRPr="002069AB">
        <w:rPr>
          <w:rStyle w:val="lev"/>
          <w:rFonts w:cs="Times New Roman"/>
          <w:b w:val="0"/>
          <w:bCs/>
          <w:sz w:val="21"/>
          <w:szCs w:val="21"/>
          <w:lang w:eastAsia="fr-FR"/>
        </w:rPr>
        <w:t>, Paris, Autrement, 2004.</w:t>
      </w:r>
    </w:p>
    <w:p w14:paraId="53B02AB3" w14:textId="77777777" w:rsidR="008B1B81" w:rsidRPr="002069AB" w:rsidRDefault="008B1B81" w:rsidP="008B1B81">
      <w:pPr>
        <w:pStyle w:val="Biblio"/>
        <w:rPr>
          <w:sz w:val="21"/>
          <w:szCs w:val="21"/>
        </w:rPr>
      </w:pPr>
      <w:proofErr w:type="spellStart"/>
      <w:r w:rsidRPr="002069AB">
        <w:rPr>
          <w:rStyle w:val="lev"/>
          <w:rFonts w:cs="Times New Roman"/>
          <w:b w:val="0"/>
          <w:bCs/>
          <w:smallCaps/>
          <w:sz w:val="21"/>
          <w:szCs w:val="21"/>
          <w:lang w:eastAsia="fr-FR"/>
        </w:rPr>
        <w:t>Coutansais</w:t>
      </w:r>
      <w:proofErr w:type="spellEnd"/>
      <w:r w:rsidRPr="002069AB">
        <w:rPr>
          <w:rStyle w:val="lev"/>
          <w:rFonts w:cs="Times New Roman"/>
          <w:bCs/>
          <w:sz w:val="21"/>
          <w:szCs w:val="21"/>
          <w:lang w:eastAsia="fr-FR"/>
        </w:rPr>
        <w:t xml:space="preserve">, </w:t>
      </w:r>
      <w:r w:rsidRPr="002069AB">
        <w:rPr>
          <w:sz w:val="21"/>
          <w:szCs w:val="21"/>
        </w:rPr>
        <w:t xml:space="preserve">Cyrille, </w:t>
      </w:r>
      <w:r w:rsidRPr="002069AB">
        <w:rPr>
          <w:i/>
          <w:iCs/>
          <w:sz w:val="21"/>
          <w:szCs w:val="21"/>
        </w:rPr>
        <w:t>L'empire des mers : Atlas historique de la France maritime</w:t>
      </w:r>
      <w:r w:rsidRPr="002069AB">
        <w:rPr>
          <w:sz w:val="21"/>
          <w:szCs w:val="21"/>
        </w:rPr>
        <w:t>, Paris, CNRS, 2015.</w:t>
      </w:r>
    </w:p>
    <w:p w14:paraId="2862FFA7" w14:textId="77777777" w:rsidR="008B1B81" w:rsidRPr="002069AB" w:rsidRDefault="008B1B81" w:rsidP="008B1B81">
      <w:pPr>
        <w:pStyle w:val="Biblio"/>
        <w:rPr>
          <w:sz w:val="21"/>
          <w:szCs w:val="21"/>
        </w:rPr>
      </w:pPr>
      <w:r w:rsidRPr="002069AB">
        <w:rPr>
          <w:rFonts w:cs="Times New Roman"/>
          <w:smallCaps/>
          <w:sz w:val="21"/>
          <w:szCs w:val="21"/>
          <w:lang w:eastAsia="fr-FR"/>
        </w:rPr>
        <w:t xml:space="preserve">Hélie, </w:t>
      </w:r>
      <w:r w:rsidRPr="002069AB">
        <w:rPr>
          <w:rFonts w:cs="Times New Roman"/>
          <w:sz w:val="21"/>
          <w:szCs w:val="21"/>
          <w:lang w:eastAsia="fr-FR"/>
        </w:rPr>
        <w:t xml:space="preserve">Jérôme, </w:t>
      </w:r>
      <w:r w:rsidRPr="002069AB">
        <w:rPr>
          <w:rFonts w:cs="Times New Roman"/>
          <w:i/>
          <w:sz w:val="21"/>
          <w:szCs w:val="21"/>
          <w:lang w:eastAsia="fr-FR"/>
        </w:rPr>
        <w:t>Petit atlas historique des temps modernes</w:t>
      </w:r>
      <w:r w:rsidRPr="002069AB">
        <w:rPr>
          <w:rFonts w:cs="Times New Roman"/>
          <w:sz w:val="21"/>
          <w:szCs w:val="21"/>
          <w:lang w:eastAsia="fr-FR"/>
        </w:rPr>
        <w:t>, Paris, Armand Colin, 2016.</w:t>
      </w:r>
    </w:p>
    <w:p w14:paraId="78F66F59" w14:textId="77777777" w:rsidR="008B1B81" w:rsidRPr="002069AB" w:rsidRDefault="008B1B81" w:rsidP="002069AB">
      <w:pPr>
        <w:pStyle w:val="Sansinterligne"/>
      </w:pPr>
      <w:r>
        <w:rPr>
          <w:lang w:eastAsia="fr-FR"/>
        </w:rPr>
        <w:t>Histoire politique et institutionnelle</w:t>
      </w:r>
    </w:p>
    <w:p w14:paraId="211AA6B0" w14:textId="77777777" w:rsidR="008B1B81" w:rsidRPr="002C7D9C" w:rsidRDefault="008B1B81" w:rsidP="008B1B81">
      <w:pPr>
        <w:pStyle w:val="Biblio"/>
        <w:rPr>
          <w:sz w:val="21"/>
        </w:rPr>
      </w:pPr>
      <w:r w:rsidRPr="002C7D9C">
        <w:rPr>
          <w:rFonts w:cs="Times New Roman"/>
          <w:smallCaps/>
          <w:sz w:val="21"/>
          <w:lang w:eastAsia="fr-FR"/>
        </w:rPr>
        <w:t>Antoine</w:t>
      </w:r>
      <w:r w:rsidR="002069AB" w:rsidRPr="002C7D9C">
        <w:rPr>
          <w:rFonts w:cs="Times New Roman"/>
          <w:sz w:val="21"/>
          <w:lang w:eastAsia="fr-FR"/>
        </w:rPr>
        <w:t xml:space="preserve">, </w:t>
      </w:r>
      <w:r w:rsidRPr="002C7D9C">
        <w:rPr>
          <w:rFonts w:cs="Times New Roman"/>
          <w:sz w:val="21"/>
          <w:lang w:eastAsia="fr-FR"/>
        </w:rPr>
        <w:t xml:space="preserve">Michel, </w:t>
      </w:r>
      <w:r w:rsidRPr="002C7D9C">
        <w:rPr>
          <w:rFonts w:cs="Times New Roman"/>
          <w:i/>
          <w:sz w:val="21"/>
          <w:lang w:eastAsia="fr-FR"/>
        </w:rPr>
        <w:t>Louis XV</w:t>
      </w:r>
      <w:r w:rsidRPr="002C7D9C">
        <w:rPr>
          <w:rFonts w:cs="Times New Roman"/>
          <w:sz w:val="21"/>
          <w:lang w:eastAsia="fr-FR"/>
        </w:rPr>
        <w:t>, Paris, Fayard, 1989</w:t>
      </w:r>
      <w:r w:rsidR="002069AB" w:rsidRPr="002C7D9C">
        <w:rPr>
          <w:rFonts w:cs="Times New Roman"/>
          <w:sz w:val="21"/>
          <w:lang w:eastAsia="fr-FR"/>
        </w:rPr>
        <w:t>.</w:t>
      </w:r>
    </w:p>
    <w:p w14:paraId="1679836F" w14:textId="77777777" w:rsidR="008B1B81" w:rsidRPr="00D256FE" w:rsidRDefault="00D256FE" w:rsidP="008B1B81">
      <w:pPr>
        <w:pStyle w:val="Biblio"/>
        <w:rPr>
          <w:sz w:val="21"/>
        </w:rPr>
      </w:pPr>
      <w:r>
        <w:rPr>
          <w:rFonts w:cs="Times New Roman"/>
          <w:smallCaps/>
          <w:sz w:val="21"/>
          <w:lang w:eastAsia="fr-FR"/>
        </w:rPr>
        <w:t>*</w:t>
      </w:r>
      <w:r w:rsidR="008B1B81" w:rsidRPr="00D256FE">
        <w:rPr>
          <w:rFonts w:cs="Times New Roman"/>
          <w:smallCaps/>
          <w:sz w:val="21"/>
          <w:lang w:eastAsia="fr-FR"/>
        </w:rPr>
        <w:t>Barbiche</w:t>
      </w:r>
      <w:r w:rsidR="002069AB" w:rsidRPr="00D256FE">
        <w:rPr>
          <w:rFonts w:cs="Times New Roman"/>
          <w:smallCaps/>
          <w:sz w:val="21"/>
          <w:lang w:eastAsia="fr-FR"/>
        </w:rPr>
        <w:t xml:space="preserve">, </w:t>
      </w:r>
      <w:r w:rsidR="008B1B81" w:rsidRPr="00D256FE">
        <w:rPr>
          <w:rFonts w:cs="Times New Roman"/>
          <w:sz w:val="21"/>
          <w:lang w:eastAsia="fr-FR"/>
        </w:rPr>
        <w:t xml:space="preserve">Bernard, </w:t>
      </w:r>
      <w:r w:rsidR="008B1B81" w:rsidRPr="00D256FE">
        <w:rPr>
          <w:rFonts w:cs="Times New Roman"/>
          <w:i/>
          <w:sz w:val="21"/>
          <w:lang w:eastAsia="fr-FR"/>
        </w:rPr>
        <w:t>Les institutions de la monarchie française à l’époque moderne</w:t>
      </w:r>
      <w:r w:rsidR="008B1B81" w:rsidRPr="00D256FE">
        <w:rPr>
          <w:rFonts w:cs="Times New Roman"/>
          <w:sz w:val="21"/>
          <w:lang w:eastAsia="fr-FR"/>
        </w:rPr>
        <w:t xml:space="preserve">, Paris, </w:t>
      </w:r>
      <w:r w:rsidR="005672E2" w:rsidRPr="00D256FE">
        <w:rPr>
          <w:rFonts w:cs="Times New Roman"/>
          <w:sz w:val="21"/>
          <w:lang w:eastAsia="fr-FR"/>
        </w:rPr>
        <w:t>PUF</w:t>
      </w:r>
      <w:r w:rsidR="008B1B81" w:rsidRPr="00D256FE">
        <w:rPr>
          <w:rFonts w:cs="Times New Roman"/>
          <w:sz w:val="21"/>
          <w:lang w:eastAsia="fr-FR"/>
        </w:rPr>
        <w:t>, 1999</w:t>
      </w:r>
      <w:r w:rsidRPr="00D256FE">
        <w:rPr>
          <w:rFonts w:cs="Times New Roman"/>
          <w:sz w:val="21"/>
          <w:lang w:eastAsia="fr-FR"/>
        </w:rPr>
        <w:t>.</w:t>
      </w:r>
    </w:p>
    <w:p w14:paraId="4EB3F677" w14:textId="77777777" w:rsidR="002069AB" w:rsidRPr="002C7D9C" w:rsidRDefault="008B1B81" w:rsidP="008B1B81">
      <w:pPr>
        <w:pStyle w:val="Biblio"/>
        <w:rPr>
          <w:rFonts w:cs="Calibri"/>
          <w:color w:val="222222"/>
          <w:sz w:val="21"/>
          <w:shd w:val="clear" w:color="auto" w:fill="FFFFFF"/>
        </w:rPr>
      </w:pPr>
      <w:proofErr w:type="spellStart"/>
      <w:r w:rsidRPr="002C7D9C">
        <w:rPr>
          <w:smallCaps/>
          <w:sz w:val="21"/>
        </w:rPr>
        <w:t>Bély</w:t>
      </w:r>
      <w:proofErr w:type="spellEnd"/>
      <w:r w:rsidR="002069AB" w:rsidRPr="002C7D9C">
        <w:rPr>
          <w:sz w:val="21"/>
        </w:rPr>
        <w:t xml:space="preserve">, </w:t>
      </w:r>
      <w:r w:rsidRPr="002C7D9C">
        <w:rPr>
          <w:sz w:val="21"/>
        </w:rPr>
        <w:t>Lucien</w:t>
      </w:r>
      <w:r w:rsidRPr="002C7D9C">
        <w:rPr>
          <w:rFonts w:cs="Calibri"/>
          <w:sz w:val="21"/>
        </w:rPr>
        <w:t xml:space="preserve">, </w:t>
      </w:r>
      <w:r w:rsidRPr="002C7D9C">
        <w:rPr>
          <w:rFonts w:cs="Calibri"/>
          <w:i/>
          <w:iCs/>
          <w:color w:val="222222"/>
          <w:sz w:val="21"/>
          <w:shd w:val="clear" w:color="auto" w:fill="FFFFFF"/>
        </w:rPr>
        <w:t>Espions et Ambassadeurs au temps de Louis XIV</w:t>
      </w:r>
      <w:r w:rsidRPr="002C7D9C">
        <w:rPr>
          <w:rFonts w:cs="Calibri"/>
          <w:color w:val="222222"/>
          <w:sz w:val="21"/>
          <w:shd w:val="clear" w:color="auto" w:fill="FFFFFF"/>
        </w:rPr>
        <w:t>, Paris, Fayard, 1990</w:t>
      </w:r>
      <w:r w:rsidR="005672E2" w:rsidRPr="002C7D9C">
        <w:rPr>
          <w:rFonts w:cs="Calibri"/>
          <w:color w:val="222222"/>
          <w:sz w:val="21"/>
          <w:shd w:val="clear" w:color="auto" w:fill="FFFFFF"/>
        </w:rPr>
        <w:t>.</w:t>
      </w:r>
    </w:p>
    <w:p w14:paraId="69031576" w14:textId="77777777" w:rsidR="002069AB" w:rsidRPr="002C7D9C" w:rsidRDefault="002069AB" w:rsidP="008B1B81">
      <w:pPr>
        <w:pStyle w:val="Biblio"/>
        <w:rPr>
          <w:color w:val="000000"/>
          <w:sz w:val="21"/>
          <w:shd w:val="clear" w:color="auto" w:fill="FFFFFF"/>
        </w:rPr>
      </w:pPr>
      <w:r w:rsidRPr="002C7D9C">
        <w:rPr>
          <w:iCs/>
          <w:color w:val="000000"/>
          <w:sz w:val="21"/>
          <w:shd w:val="clear" w:color="auto" w:fill="FFFFFF"/>
        </w:rPr>
        <w:t xml:space="preserve">--, </w:t>
      </w:r>
      <w:r w:rsidR="008B1B81" w:rsidRPr="002C7D9C">
        <w:rPr>
          <w:i/>
          <w:iCs/>
          <w:color w:val="000000"/>
          <w:sz w:val="21"/>
          <w:shd w:val="clear" w:color="auto" w:fill="FFFFFF"/>
        </w:rPr>
        <w:t>Les Relations internationales en Europe :</w:t>
      </w:r>
      <w:r w:rsidR="008B1B81" w:rsidRPr="002C7D9C">
        <w:rPr>
          <w:rStyle w:val="apple-converted-space"/>
          <w:i/>
          <w:iCs/>
          <w:color w:val="000000"/>
          <w:sz w:val="21"/>
          <w:shd w:val="clear" w:color="auto" w:fill="FFFFFF"/>
        </w:rPr>
        <w:t> </w:t>
      </w:r>
      <w:r w:rsidR="008B1B81" w:rsidRPr="002C7D9C">
        <w:rPr>
          <w:rStyle w:val="romain"/>
          <w:caps/>
          <w:color w:val="000000"/>
          <w:sz w:val="21"/>
          <w:shd w:val="clear" w:color="auto" w:fill="FFFFFF"/>
        </w:rPr>
        <w:t>xvii</w:t>
      </w:r>
      <w:r w:rsidR="008B1B81" w:rsidRPr="002C7D9C">
        <w:rPr>
          <w:rStyle w:val="a-size-large"/>
          <w:i/>
          <w:color w:val="111111"/>
          <w:sz w:val="21"/>
          <w:vertAlign w:val="superscript"/>
        </w:rPr>
        <w:t>e</w:t>
      </w:r>
      <w:r w:rsidR="008B1B81" w:rsidRPr="002C7D9C">
        <w:rPr>
          <w:rStyle w:val="apple-converted-space"/>
          <w:i/>
          <w:iCs/>
          <w:color w:val="000000"/>
          <w:sz w:val="21"/>
          <w:shd w:val="clear" w:color="auto" w:fill="FFFFFF"/>
        </w:rPr>
        <w:t> </w:t>
      </w:r>
      <w:r w:rsidR="008B1B81" w:rsidRPr="002C7D9C">
        <w:rPr>
          <w:i/>
          <w:iCs/>
          <w:color w:val="000000"/>
          <w:sz w:val="21"/>
          <w:shd w:val="clear" w:color="auto" w:fill="FFFFFF"/>
        </w:rPr>
        <w:t>et</w:t>
      </w:r>
      <w:r w:rsidR="008B1B81" w:rsidRPr="002C7D9C">
        <w:rPr>
          <w:rStyle w:val="apple-converted-space"/>
          <w:i/>
          <w:iCs/>
          <w:color w:val="000000"/>
          <w:sz w:val="21"/>
          <w:shd w:val="clear" w:color="auto" w:fill="FFFFFF"/>
        </w:rPr>
        <w:t> </w:t>
      </w:r>
      <w:r w:rsidR="008B1B81" w:rsidRPr="002C7D9C">
        <w:rPr>
          <w:rStyle w:val="romain"/>
          <w:caps/>
          <w:color w:val="000000"/>
          <w:sz w:val="21"/>
          <w:shd w:val="clear" w:color="auto" w:fill="FFFFFF"/>
        </w:rPr>
        <w:t>xviii</w:t>
      </w:r>
      <w:r w:rsidR="008B1B81" w:rsidRPr="002C7D9C">
        <w:rPr>
          <w:rStyle w:val="a-size-large"/>
          <w:i/>
          <w:color w:val="111111"/>
          <w:sz w:val="21"/>
          <w:vertAlign w:val="superscript"/>
        </w:rPr>
        <w:t>e</w:t>
      </w:r>
      <w:r w:rsidR="008B1B81" w:rsidRPr="002C7D9C">
        <w:rPr>
          <w:i/>
          <w:iCs/>
          <w:color w:val="000000"/>
          <w:sz w:val="21"/>
          <w:shd w:val="clear" w:color="auto" w:fill="FFFFFF"/>
        </w:rPr>
        <w:t> siècles</w:t>
      </w:r>
      <w:r w:rsidR="008B1B81" w:rsidRPr="002C7D9C">
        <w:rPr>
          <w:color w:val="000000"/>
          <w:sz w:val="21"/>
          <w:shd w:val="clear" w:color="auto" w:fill="FFFFFF"/>
        </w:rPr>
        <w:t>, Paris, PUF, 1992 (dernière éd. 2007)</w:t>
      </w:r>
      <w:r w:rsidR="005672E2" w:rsidRPr="002C7D9C">
        <w:rPr>
          <w:color w:val="000000"/>
          <w:sz w:val="21"/>
          <w:shd w:val="clear" w:color="auto" w:fill="FFFFFF"/>
        </w:rPr>
        <w:t xml:space="preserve">. </w:t>
      </w:r>
    </w:p>
    <w:p w14:paraId="365B2EBA" w14:textId="77777777" w:rsidR="008B1B81" w:rsidRPr="002C7D9C" w:rsidRDefault="008B1B81" w:rsidP="008B1B81">
      <w:pPr>
        <w:pStyle w:val="Biblio"/>
        <w:rPr>
          <w:sz w:val="21"/>
        </w:rPr>
      </w:pPr>
      <w:proofErr w:type="spellStart"/>
      <w:r w:rsidRPr="002C7D9C">
        <w:rPr>
          <w:rFonts w:cs="Times New Roman"/>
          <w:smallCaps/>
          <w:sz w:val="21"/>
          <w:lang w:eastAsia="fr-FR"/>
        </w:rPr>
        <w:t>Bluche</w:t>
      </w:r>
      <w:proofErr w:type="spellEnd"/>
      <w:r w:rsidR="005672E2" w:rsidRPr="002C7D9C">
        <w:rPr>
          <w:rFonts w:cs="Times New Roman"/>
          <w:smallCaps/>
          <w:sz w:val="21"/>
          <w:lang w:eastAsia="fr-FR"/>
        </w:rPr>
        <w:t xml:space="preserve">, </w:t>
      </w:r>
      <w:r w:rsidRPr="002C7D9C">
        <w:rPr>
          <w:rFonts w:cs="Times New Roman"/>
          <w:smallCaps/>
          <w:sz w:val="21"/>
          <w:lang w:eastAsia="fr-FR"/>
        </w:rPr>
        <w:t>F</w:t>
      </w:r>
      <w:r w:rsidRPr="002C7D9C">
        <w:rPr>
          <w:rFonts w:cs="Times New Roman"/>
          <w:sz w:val="21"/>
          <w:lang w:eastAsia="fr-FR"/>
        </w:rPr>
        <w:t xml:space="preserve">rançois, </w:t>
      </w:r>
      <w:r w:rsidRPr="002C7D9C">
        <w:rPr>
          <w:rFonts w:cs="Times New Roman"/>
          <w:i/>
          <w:sz w:val="21"/>
          <w:lang w:eastAsia="fr-FR"/>
        </w:rPr>
        <w:t>Louis XIV</w:t>
      </w:r>
      <w:r w:rsidRPr="002C7D9C">
        <w:rPr>
          <w:rFonts w:cs="Times New Roman"/>
          <w:sz w:val="21"/>
          <w:lang w:eastAsia="fr-FR"/>
        </w:rPr>
        <w:t>, Paris, Fayard, 1986</w:t>
      </w:r>
      <w:r w:rsidR="005672E2" w:rsidRPr="002C7D9C">
        <w:rPr>
          <w:rFonts w:cs="Times New Roman"/>
          <w:sz w:val="21"/>
          <w:lang w:eastAsia="fr-FR"/>
        </w:rPr>
        <w:t>.</w:t>
      </w:r>
    </w:p>
    <w:p w14:paraId="631C6DC2" w14:textId="77777777" w:rsidR="008B1B81" w:rsidRPr="002C7D9C" w:rsidRDefault="008B1B81" w:rsidP="008B1B81">
      <w:pPr>
        <w:pStyle w:val="Biblio"/>
        <w:rPr>
          <w:sz w:val="21"/>
        </w:rPr>
      </w:pPr>
      <w:r w:rsidRPr="002C7D9C">
        <w:rPr>
          <w:rFonts w:cs="Times New Roman"/>
          <w:smallCaps/>
          <w:sz w:val="21"/>
          <w:lang w:eastAsia="fr-FR"/>
        </w:rPr>
        <w:t>Chaline</w:t>
      </w:r>
      <w:r w:rsidR="005672E2" w:rsidRPr="002C7D9C">
        <w:rPr>
          <w:rFonts w:cs="Times New Roman"/>
          <w:smallCaps/>
          <w:sz w:val="21"/>
          <w:lang w:eastAsia="fr-FR"/>
        </w:rPr>
        <w:t xml:space="preserve">, </w:t>
      </w:r>
      <w:r w:rsidRPr="002C7D9C">
        <w:rPr>
          <w:rFonts w:cs="Times New Roman"/>
          <w:smallCaps/>
          <w:sz w:val="21"/>
          <w:lang w:eastAsia="fr-FR"/>
        </w:rPr>
        <w:t>O</w:t>
      </w:r>
      <w:r w:rsidRPr="002C7D9C">
        <w:rPr>
          <w:rFonts w:cs="Times New Roman"/>
          <w:sz w:val="21"/>
          <w:lang w:eastAsia="fr-FR"/>
        </w:rPr>
        <w:t xml:space="preserve">livier, </w:t>
      </w:r>
      <w:r w:rsidRPr="002C7D9C">
        <w:rPr>
          <w:rFonts w:cs="Times New Roman"/>
          <w:i/>
          <w:sz w:val="21"/>
          <w:lang w:eastAsia="fr-FR"/>
        </w:rPr>
        <w:t>Les armées du roi. Le grand chantier (XVII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Armand Colin, 2016</w:t>
      </w:r>
      <w:r w:rsidR="005672E2" w:rsidRPr="002C7D9C">
        <w:rPr>
          <w:rFonts w:cs="Times New Roman"/>
          <w:sz w:val="21"/>
          <w:lang w:eastAsia="fr-FR"/>
        </w:rPr>
        <w:t>.</w:t>
      </w:r>
    </w:p>
    <w:p w14:paraId="54ABA3A9" w14:textId="77777777" w:rsidR="008B1B81" w:rsidRPr="002C7D9C" w:rsidRDefault="008B1B81" w:rsidP="008B1B81">
      <w:pPr>
        <w:pStyle w:val="Biblio"/>
        <w:rPr>
          <w:sz w:val="21"/>
        </w:rPr>
      </w:pPr>
      <w:proofErr w:type="spellStart"/>
      <w:r w:rsidRPr="002C7D9C">
        <w:rPr>
          <w:rFonts w:cs="Times New Roman"/>
          <w:smallCaps/>
          <w:sz w:val="21"/>
          <w:lang w:eastAsia="fr-FR"/>
        </w:rPr>
        <w:t>Chaussinand</w:t>
      </w:r>
      <w:proofErr w:type="spellEnd"/>
      <w:r w:rsidRPr="002C7D9C">
        <w:rPr>
          <w:rFonts w:cs="Times New Roman"/>
          <w:smallCaps/>
          <w:sz w:val="21"/>
          <w:lang w:eastAsia="fr-FR"/>
        </w:rPr>
        <w:t>-Nogaret</w:t>
      </w:r>
      <w:r w:rsidR="002C7D9C">
        <w:rPr>
          <w:rFonts w:cs="Times New Roman"/>
          <w:sz w:val="21"/>
          <w:lang w:eastAsia="fr-FR"/>
        </w:rPr>
        <w:t xml:space="preserve">, </w:t>
      </w:r>
      <w:r w:rsidRPr="002C7D9C">
        <w:rPr>
          <w:rFonts w:cs="Times New Roman"/>
          <w:sz w:val="21"/>
          <w:lang w:eastAsia="fr-FR"/>
        </w:rPr>
        <w:t xml:space="preserve">Guy, </w:t>
      </w:r>
      <w:r w:rsidRPr="002C7D9C">
        <w:rPr>
          <w:rFonts w:cs="Times New Roman"/>
          <w:i/>
          <w:sz w:val="21"/>
          <w:lang w:eastAsia="fr-FR"/>
        </w:rPr>
        <w:t>Choiseul. Naissance de la gauche</w:t>
      </w:r>
      <w:r w:rsidRPr="002C7D9C">
        <w:rPr>
          <w:rFonts w:cs="Times New Roman"/>
          <w:sz w:val="21"/>
          <w:lang w:eastAsia="fr-FR"/>
        </w:rPr>
        <w:t>, Paris, Perrin, 1998</w:t>
      </w:r>
      <w:r w:rsidR="005672E2" w:rsidRPr="002C7D9C">
        <w:rPr>
          <w:rFonts w:cs="Times New Roman"/>
          <w:sz w:val="21"/>
          <w:lang w:eastAsia="fr-FR"/>
        </w:rPr>
        <w:t>.</w:t>
      </w:r>
    </w:p>
    <w:p w14:paraId="57B271B8" w14:textId="77777777" w:rsidR="008B1B81" w:rsidRPr="002C7D9C" w:rsidRDefault="00514AF2" w:rsidP="008B1B81">
      <w:pPr>
        <w:pStyle w:val="Biblio"/>
        <w:rPr>
          <w:sz w:val="21"/>
        </w:rPr>
      </w:pPr>
      <w:r>
        <w:rPr>
          <w:rFonts w:cs="Times New Roman"/>
          <w:smallCaps/>
          <w:sz w:val="21"/>
          <w:lang w:eastAsia="fr-FR"/>
        </w:rPr>
        <w:t>*</w:t>
      </w:r>
      <w:r w:rsidR="008B1B81" w:rsidRPr="002C7D9C">
        <w:rPr>
          <w:rFonts w:cs="Times New Roman"/>
          <w:smallCaps/>
          <w:sz w:val="21"/>
          <w:lang w:eastAsia="fr-FR"/>
        </w:rPr>
        <w:t>Cornette</w:t>
      </w:r>
      <w:r w:rsidR="005672E2" w:rsidRPr="002C7D9C">
        <w:rPr>
          <w:rFonts w:cs="Times New Roman"/>
          <w:sz w:val="21"/>
          <w:lang w:eastAsia="fr-FR"/>
        </w:rPr>
        <w:t xml:space="preserve">, </w:t>
      </w:r>
      <w:r w:rsidR="008B1B81" w:rsidRPr="002C7D9C">
        <w:rPr>
          <w:rFonts w:cs="Times New Roman"/>
          <w:sz w:val="21"/>
          <w:lang w:eastAsia="fr-FR"/>
        </w:rPr>
        <w:t xml:space="preserve">Joël, </w:t>
      </w:r>
      <w:r w:rsidR="008B1B81" w:rsidRPr="002C7D9C">
        <w:rPr>
          <w:rFonts w:cs="Times New Roman"/>
          <w:i/>
          <w:sz w:val="21"/>
          <w:lang w:eastAsia="fr-FR"/>
        </w:rPr>
        <w:t>La mort de Louis XIV. Apogée et crépuscule de la royauté</w:t>
      </w:r>
      <w:r w:rsidR="008B1B81" w:rsidRPr="002C7D9C">
        <w:rPr>
          <w:rFonts w:cs="Times New Roman"/>
          <w:sz w:val="21"/>
          <w:lang w:eastAsia="fr-FR"/>
        </w:rPr>
        <w:t>, Paris, Gallimard, 2015</w:t>
      </w:r>
      <w:r w:rsidR="005672E2" w:rsidRPr="002C7D9C">
        <w:rPr>
          <w:rFonts w:cs="Times New Roman"/>
          <w:sz w:val="21"/>
          <w:lang w:eastAsia="fr-FR"/>
        </w:rPr>
        <w:t>.</w:t>
      </w:r>
    </w:p>
    <w:p w14:paraId="73C18C30" w14:textId="77777777" w:rsidR="008B1B81" w:rsidRPr="002C7D9C" w:rsidRDefault="008B1B81" w:rsidP="008B1B81">
      <w:pPr>
        <w:pStyle w:val="Biblio"/>
        <w:rPr>
          <w:sz w:val="21"/>
        </w:rPr>
      </w:pPr>
      <w:proofErr w:type="spellStart"/>
      <w:r w:rsidRPr="002C7D9C">
        <w:rPr>
          <w:rFonts w:cs="Times New Roman"/>
          <w:smallCaps/>
          <w:sz w:val="21"/>
          <w:lang w:eastAsia="fr-FR"/>
        </w:rPr>
        <w:t>Gainot</w:t>
      </w:r>
      <w:proofErr w:type="spellEnd"/>
      <w:r w:rsidR="005672E2" w:rsidRPr="002C7D9C">
        <w:rPr>
          <w:rFonts w:cs="Times New Roman"/>
          <w:sz w:val="21"/>
          <w:lang w:eastAsia="fr-FR"/>
        </w:rPr>
        <w:t xml:space="preserve">, </w:t>
      </w:r>
      <w:r w:rsidRPr="002C7D9C">
        <w:rPr>
          <w:rFonts w:cs="Times New Roman"/>
          <w:sz w:val="21"/>
          <w:lang w:eastAsia="fr-FR"/>
        </w:rPr>
        <w:t xml:space="preserve">Bernard, </w:t>
      </w:r>
      <w:r w:rsidRPr="002C7D9C">
        <w:rPr>
          <w:rFonts w:cs="Times New Roman"/>
          <w:i/>
          <w:sz w:val="21"/>
          <w:lang w:eastAsia="fr-FR"/>
        </w:rPr>
        <w:t>L’Empire colonial français de Richelieu à Napoléon</w:t>
      </w:r>
      <w:r w:rsidRPr="002C7D9C">
        <w:rPr>
          <w:rFonts w:cs="Times New Roman"/>
          <w:sz w:val="21"/>
          <w:lang w:eastAsia="fr-FR"/>
        </w:rPr>
        <w:t>, Paris, Armand Colin, 2015</w:t>
      </w:r>
      <w:r w:rsidR="005672E2" w:rsidRPr="002C7D9C">
        <w:rPr>
          <w:rFonts w:cs="Times New Roman"/>
          <w:sz w:val="21"/>
          <w:lang w:eastAsia="fr-FR"/>
        </w:rPr>
        <w:t>.</w:t>
      </w:r>
    </w:p>
    <w:p w14:paraId="632C004D" w14:textId="77777777" w:rsidR="008B1B81" w:rsidRPr="002C7D9C" w:rsidRDefault="008B1B81" w:rsidP="008B1B81">
      <w:pPr>
        <w:pStyle w:val="Biblio"/>
        <w:rPr>
          <w:rFonts w:cs="Times New Roman"/>
          <w:sz w:val="21"/>
          <w:lang w:eastAsia="fr-FR"/>
        </w:rPr>
      </w:pPr>
      <w:proofErr w:type="spellStart"/>
      <w:r w:rsidRPr="002C7D9C">
        <w:rPr>
          <w:rFonts w:cs="Times New Roman"/>
          <w:smallCaps/>
          <w:sz w:val="21"/>
          <w:lang w:eastAsia="fr-FR"/>
        </w:rPr>
        <w:t>Garnot</w:t>
      </w:r>
      <w:proofErr w:type="spellEnd"/>
      <w:r w:rsidR="005672E2" w:rsidRPr="002C7D9C">
        <w:rPr>
          <w:rFonts w:cs="Times New Roman"/>
          <w:smallCaps/>
          <w:sz w:val="21"/>
          <w:lang w:eastAsia="fr-FR"/>
        </w:rPr>
        <w:t xml:space="preserve">, </w:t>
      </w:r>
      <w:r w:rsidRPr="002C7D9C">
        <w:rPr>
          <w:rFonts w:cs="Times New Roman"/>
          <w:sz w:val="21"/>
          <w:lang w:eastAsia="fr-FR"/>
        </w:rPr>
        <w:t>Benoî</w:t>
      </w:r>
      <w:r w:rsidR="005672E2" w:rsidRPr="002C7D9C">
        <w:rPr>
          <w:rFonts w:cs="Times New Roman"/>
          <w:sz w:val="21"/>
          <w:lang w:eastAsia="fr-FR"/>
        </w:rPr>
        <w:t>t</w:t>
      </w:r>
      <w:r w:rsidRPr="002C7D9C">
        <w:rPr>
          <w:rFonts w:cs="Times New Roman"/>
          <w:sz w:val="21"/>
          <w:lang w:eastAsia="fr-FR"/>
        </w:rPr>
        <w:t xml:space="preserve">, </w:t>
      </w:r>
      <w:r w:rsidRPr="002C7D9C">
        <w:rPr>
          <w:rFonts w:cs="Times New Roman"/>
          <w:i/>
          <w:sz w:val="21"/>
          <w:lang w:eastAsia="fr-FR"/>
        </w:rPr>
        <w:t>Histoire de la justice. France, XVI</w:t>
      </w:r>
      <w:r w:rsidRPr="002C7D9C">
        <w:rPr>
          <w:rStyle w:val="a-size-large"/>
          <w:i/>
          <w:color w:val="111111"/>
          <w:sz w:val="21"/>
          <w:vertAlign w:val="superscript"/>
          <w:lang w:eastAsia="fr-FR"/>
        </w:rPr>
        <w:t>e</w:t>
      </w:r>
      <w:r w:rsidRPr="002C7D9C">
        <w:rPr>
          <w:rFonts w:cs="Times New Roman"/>
          <w:i/>
          <w:sz w:val="21"/>
          <w:lang w:eastAsia="fr-FR"/>
        </w:rPr>
        <w:t>-XXI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Paris, Folio Histoire, 2009</w:t>
      </w:r>
      <w:r w:rsidR="005672E2" w:rsidRPr="002C7D9C">
        <w:rPr>
          <w:rFonts w:cs="Times New Roman"/>
          <w:sz w:val="21"/>
          <w:lang w:eastAsia="fr-FR"/>
        </w:rPr>
        <w:t>.</w:t>
      </w:r>
    </w:p>
    <w:p w14:paraId="2A147559" w14:textId="77777777" w:rsidR="002C7D9C" w:rsidRPr="002C7D9C" w:rsidRDefault="00514AF2" w:rsidP="008B1B81">
      <w:pPr>
        <w:pStyle w:val="Biblio"/>
        <w:rPr>
          <w:sz w:val="21"/>
        </w:rPr>
      </w:pPr>
      <w:r>
        <w:rPr>
          <w:smallCaps/>
          <w:sz w:val="21"/>
        </w:rPr>
        <w:t>*</w:t>
      </w:r>
      <w:proofErr w:type="spellStart"/>
      <w:r w:rsidR="002C7D9C" w:rsidRPr="002C7D9C">
        <w:rPr>
          <w:smallCaps/>
          <w:sz w:val="21"/>
        </w:rPr>
        <w:t>Jouanna</w:t>
      </w:r>
      <w:proofErr w:type="spellEnd"/>
      <w:r w:rsidR="002C7D9C" w:rsidRPr="002C7D9C">
        <w:rPr>
          <w:sz w:val="21"/>
        </w:rPr>
        <w:t xml:space="preserve">, Arlette, </w:t>
      </w:r>
      <w:r w:rsidR="002C7D9C" w:rsidRPr="002C7D9C">
        <w:rPr>
          <w:i/>
          <w:sz w:val="21"/>
        </w:rPr>
        <w:t>Le prince absolu : apogée et déclin de l'imaginaire monarchique</w:t>
      </w:r>
      <w:r w:rsidR="002C7D9C" w:rsidRPr="002C7D9C">
        <w:rPr>
          <w:sz w:val="21"/>
        </w:rPr>
        <w:t xml:space="preserve">, Paris, Gallimard, 2014. </w:t>
      </w:r>
    </w:p>
    <w:p w14:paraId="6DE695F8" w14:textId="77777777" w:rsidR="005672E2" w:rsidRPr="002C7D9C" w:rsidRDefault="008B1B81" w:rsidP="008B1B81">
      <w:pPr>
        <w:pStyle w:val="Biblio"/>
        <w:rPr>
          <w:rFonts w:cs="Calibri"/>
          <w:color w:val="1F1F1F"/>
          <w:sz w:val="21"/>
          <w:lang w:eastAsia="fr-FR"/>
        </w:rPr>
      </w:pPr>
      <w:r w:rsidRPr="002C7D9C">
        <w:rPr>
          <w:rFonts w:cs="Calibri"/>
          <w:smallCaps/>
          <w:sz w:val="21"/>
          <w:lang w:eastAsia="fr-FR"/>
        </w:rPr>
        <w:t>Le Mao</w:t>
      </w:r>
      <w:r w:rsidR="005672E2" w:rsidRPr="002C7D9C">
        <w:rPr>
          <w:rFonts w:cs="Calibri"/>
          <w:sz w:val="21"/>
          <w:lang w:eastAsia="fr-FR"/>
        </w:rPr>
        <w:t xml:space="preserve">, </w:t>
      </w:r>
      <w:r w:rsidRPr="002C7D9C">
        <w:rPr>
          <w:rFonts w:cs="Calibri"/>
          <w:sz w:val="21"/>
          <w:lang w:eastAsia="fr-FR"/>
        </w:rPr>
        <w:t xml:space="preserve">Caroline, </w:t>
      </w:r>
      <w:r w:rsidRPr="002C7D9C">
        <w:rPr>
          <w:rStyle w:val="Accentuation"/>
          <w:rFonts w:cs="Calibri"/>
          <w:color w:val="1F1F1F"/>
          <w:sz w:val="21"/>
          <w:lang w:eastAsia="fr-FR"/>
        </w:rPr>
        <w:t>Les fortunes de Thémis. Vies des magistrats du parlement de Bordeaux</w:t>
      </w:r>
      <w:r w:rsidRPr="002C7D9C">
        <w:rPr>
          <w:rFonts w:cs="Calibri"/>
          <w:color w:val="1F1F1F"/>
          <w:sz w:val="21"/>
          <w:lang w:eastAsia="fr-FR"/>
        </w:rPr>
        <w:t>, Bordeaux, FHSO, 2006</w:t>
      </w:r>
      <w:r w:rsidR="005672E2" w:rsidRPr="002C7D9C">
        <w:rPr>
          <w:rFonts w:cs="Calibri"/>
          <w:color w:val="1F1F1F"/>
          <w:sz w:val="21"/>
          <w:lang w:eastAsia="fr-FR"/>
        </w:rPr>
        <w:t xml:space="preserve">. </w:t>
      </w:r>
    </w:p>
    <w:p w14:paraId="4214459A" w14:textId="77777777" w:rsidR="008B1B81" w:rsidRPr="002C7D9C" w:rsidRDefault="005672E2" w:rsidP="008B1B81">
      <w:pPr>
        <w:pStyle w:val="Biblio"/>
        <w:rPr>
          <w:sz w:val="21"/>
        </w:rPr>
      </w:pPr>
      <w:r w:rsidRPr="002C7D9C">
        <w:rPr>
          <w:rStyle w:val="Accentuation"/>
          <w:rFonts w:cs="Calibri"/>
          <w:i w:val="0"/>
          <w:color w:val="1F1F1F"/>
          <w:sz w:val="21"/>
          <w:lang w:eastAsia="fr-FR"/>
        </w:rPr>
        <w:t xml:space="preserve">--, </w:t>
      </w:r>
      <w:r w:rsidR="008B1B81" w:rsidRPr="002C7D9C">
        <w:rPr>
          <w:rStyle w:val="Accentuation"/>
          <w:rFonts w:cs="Calibri"/>
          <w:color w:val="1F1F1F"/>
          <w:sz w:val="21"/>
          <w:lang w:eastAsia="fr-FR"/>
        </w:rPr>
        <w:t>Parlement et parlementaires. Bordeaux au Grand Siècle</w:t>
      </w:r>
      <w:r w:rsidR="008B1B81" w:rsidRPr="002C7D9C">
        <w:rPr>
          <w:rFonts w:cs="Calibri"/>
          <w:color w:val="1F1F1F"/>
          <w:sz w:val="21"/>
          <w:lang w:eastAsia="fr-FR"/>
        </w:rPr>
        <w:t>, Seyssel, Champ Vallon, 2007</w:t>
      </w:r>
      <w:r w:rsidRPr="002C7D9C">
        <w:rPr>
          <w:rFonts w:cs="Calibri"/>
          <w:color w:val="1F1F1F"/>
          <w:sz w:val="21"/>
          <w:lang w:eastAsia="fr-FR"/>
        </w:rPr>
        <w:t>.</w:t>
      </w:r>
    </w:p>
    <w:p w14:paraId="1EBEFE30" w14:textId="77777777" w:rsidR="008B1B81" w:rsidRPr="002C7D9C" w:rsidRDefault="008B1B81" w:rsidP="008B1B81">
      <w:pPr>
        <w:pStyle w:val="Biblio"/>
        <w:rPr>
          <w:sz w:val="21"/>
        </w:rPr>
      </w:pPr>
      <w:r w:rsidRPr="002C7D9C">
        <w:rPr>
          <w:rFonts w:cs="Calibri"/>
          <w:smallCaps/>
          <w:sz w:val="21"/>
          <w:lang w:eastAsia="fr-FR"/>
        </w:rPr>
        <w:t>Maire</w:t>
      </w:r>
      <w:r w:rsidR="005672E2" w:rsidRPr="002C7D9C">
        <w:rPr>
          <w:rFonts w:cs="Calibri"/>
          <w:smallCaps/>
          <w:sz w:val="21"/>
          <w:lang w:eastAsia="fr-FR"/>
        </w:rPr>
        <w:t xml:space="preserve">, </w:t>
      </w:r>
      <w:r w:rsidRPr="002C7D9C">
        <w:rPr>
          <w:rFonts w:cs="Calibri"/>
          <w:sz w:val="21"/>
          <w:lang w:eastAsia="fr-FR"/>
        </w:rPr>
        <w:t xml:space="preserve">Catherine, </w:t>
      </w:r>
      <w:r w:rsidRPr="002C7D9C">
        <w:rPr>
          <w:rStyle w:val="a-size-large"/>
          <w:i/>
          <w:iCs/>
          <w:color w:val="111111"/>
          <w:sz w:val="21"/>
        </w:rPr>
        <w:t>L'Église dans l'État : Politique et religion dans la France des Lumières</w:t>
      </w:r>
      <w:r w:rsidRPr="002C7D9C">
        <w:rPr>
          <w:rStyle w:val="a-size-large"/>
          <w:color w:val="111111"/>
          <w:sz w:val="21"/>
        </w:rPr>
        <w:t>, Paris, Gallimard, 2019</w:t>
      </w:r>
      <w:r w:rsidR="005672E2" w:rsidRPr="002C7D9C">
        <w:rPr>
          <w:rStyle w:val="a-size-large"/>
          <w:color w:val="111111"/>
          <w:sz w:val="21"/>
        </w:rPr>
        <w:t>.</w:t>
      </w:r>
    </w:p>
    <w:p w14:paraId="202A37BA" w14:textId="77777777" w:rsidR="008B1B81" w:rsidRPr="002C7D9C" w:rsidRDefault="008B1B81" w:rsidP="002C7D9C">
      <w:pPr>
        <w:pStyle w:val="Sansinterligne"/>
        <w:rPr>
          <w:lang w:eastAsia="fr-FR"/>
        </w:rPr>
      </w:pPr>
      <w:r>
        <w:rPr>
          <w:lang w:eastAsia="fr-FR"/>
        </w:rPr>
        <w:lastRenderedPageBreak/>
        <w:t xml:space="preserve">Histoire </w:t>
      </w:r>
      <w:r w:rsidRPr="005672E2">
        <w:t>économique</w:t>
      </w:r>
    </w:p>
    <w:p w14:paraId="0EA8AE91" w14:textId="77777777" w:rsidR="008B1B81" w:rsidRPr="002C7D9C" w:rsidRDefault="008B1B81" w:rsidP="008B1B81">
      <w:pPr>
        <w:pStyle w:val="Biblio"/>
        <w:rPr>
          <w:sz w:val="21"/>
        </w:rPr>
      </w:pPr>
      <w:r w:rsidRPr="002C7D9C">
        <w:rPr>
          <w:rFonts w:cs="Times New Roman"/>
          <w:smallCaps/>
          <w:sz w:val="21"/>
          <w:lang w:eastAsia="fr-FR"/>
        </w:rPr>
        <w:t>Bayard</w:t>
      </w:r>
      <w:r w:rsidR="002C7D9C" w:rsidRPr="002C7D9C">
        <w:rPr>
          <w:rFonts w:cs="Times New Roman"/>
          <w:sz w:val="21"/>
          <w:lang w:eastAsia="fr-FR"/>
        </w:rPr>
        <w:t xml:space="preserve">, </w:t>
      </w:r>
      <w:r w:rsidRPr="002C7D9C">
        <w:rPr>
          <w:rFonts w:cs="Times New Roman"/>
          <w:sz w:val="21"/>
          <w:lang w:eastAsia="fr-FR"/>
        </w:rPr>
        <w:t xml:space="preserve">Françoise, </w:t>
      </w:r>
      <w:r w:rsidRPr="002C7D9C">
        <w:rPr>
          <w:rFonts w:cs="Times New Roman"/>
          <w:smallCaps/>
          <w:sz w:val="21"/>
          <w:lang w:eastAsia="fr-FR"/>
        </w:rPr>
        <w:t>Guignet</w:t>
      </w:r>
      <w:r w:rsidR="002C7D9C" w:rsidRPr="002C7D9C">
        <w:rPr>
          <w:rFonts w:cs="Times New Roman"/>
          <w:sz w:val="21"/>
          <w:lang w:eastAsia="fr-FR"/>
        </w:rPr>
        <w:t xml:space="preserve">, </w:t>
      </w:r>
      <w:r w:rsidRPr="002C7D9C">
        <w:rPr>
          <w:rFonts w:cs="Times New Roman"/>
          <w:sz w:val="21"/>
          <w:lang w:eastAsia="fr-FR"/>
        </w:rPr>
        <w:t xml:space="preserve">Philippe, </w:t>
      </w:r>
      <w:r w:rsidRPr="002C7D9C">
        <w:rPr>
          <w:rFonts w:cs="Times New Roman"/>
          <w:i/>
          <w:sz w:val="21"/>
          <w:lang w:eastAsia="fr-FR"/>
        </w:rPr>
        <w:t>L’économie française aux XVI</w:t>
      </w:r>
      <w:r w:rsidRPr="002C7D9C">
        <w:rPr>
          <w:rStyle w:val="a-size-large"/>
          <w:i/>
          <w:color w:val="111111"/>
          <w:sz w:val="21"/>
          <w:vertAlign w:val="superscript"/>
          <w:lang w:eastAsia="fr-FR"/>
        </w:rPr>
        <w:t>e</w:t>
      </w:r>
      <w:r w:rsidRPr="002C7D9C">
        <w:rPr>
          <w:rFonts w:cs="Times New Roman"/>
          <w:i/>
          <w:sz w:val="21"/>
          <w:lang w:eastAsia="fr-FR"/>
        </w:rPr>
        <w:t>, XVII</w:t>
      </w:r>
      <w:r w:rsidRPr="002C7D9C">
        <w:rPr>
          <w:rStyle w:val="a-size-large"/>
          <w:i/>
          <w:color w:val="111111"/>
          <w:sz w:val="21"/>
          <w:vertAlign w:val="superscript"/>
          <w:lang w:eastAsia="fr-FR"/>
        </w:rPr>
        <w:t>e</w:t>
      </w:r>
      <w:r w:rsidRPr="002C7D9C">
        <w:rPr>
          <w:rFonts w:cs="Times New Roman"/>
          <w:i/>
          <w:sz w:val="21"/>
          <w:lang w:eastAsia="fr-FR"/>
        </w:rPr>
        <w:t>, 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Paris, Ophrys,</w:t>
      </w:r>
      <w:r w:rsidR="002C7D9C" w:rsidRPr="002C7D9C">
        <w:rPr>
          <w:rFonts w:cs="Times New Roman"/>
          <w:sz w:val="21"/>
          <w:lang w:eastAsia="fr-FR"/>
        </w:rPr>
        <w:t xml:space="preserve"> </w:t>
      </w:r>
      <w:r w:rsidRPr="002C7D9C">
        <w:rPr>
          <w:rFonts w:cs="Times New Roman"/>
          <w:sz w:val="21"/>
          <w:lang w:eastAsia="fr-FR"/>
        </w:rPr>
        <w:t>1991</w:t>
      </w:r>
      <w:r w:rsidR="002C7D9C" w:rsidRPr="002C7D9C">
        <w:rPr>
          <w:rFonts w:cs="Times New Roman"/>
          <w:sz w:val="21"/>
          <w:lang w:eastAsia="fr-FR"/>
        </w:rPr>
        <w:t xml:space="preserve">. </w:t>
      </w:r>
    </w:p>
    <w:p w14:paraId="783DBBE7" w14:textId="77777777" w:rsidR="008B1B81" w:rsidRPr="002C7D9C" w:rsidRDefault="008B1B81" w:rsidP="008B1B81">
      <w:pPr>
        <w:pStyle w:val="Biblio"/>
        <w:rPr>
          <w:sz w:val="21"/>
        </w:rPr>
      </w:pPr>
      <w:r w:rsidRPr="002C7D9C">
        <w:rPr>
          <w:rFonts w:cs="Times New Roman"/>
          <w:smallCaps/>
          <w:sz w:val="21"/>
          <w:lang w:eastAsia="fr-FR"/>
        </w:rPr>
        <w:t>Bianchi</w:t>
      </w:r>
      <w:r w:rsidR="002C7D9C" w:rsidRPr="002C7D9C">
        <w:rPr>
          <w:rFonts w:cs="Times New Roman"/>
          <w:sz w:val="21"/>
          <w:lang w:eastAsia="fr-FR"/>
        </w:rPr>
        <w:t xml:space="preserve">, </w:t>
      </w:r>
      <w:r w:rsidRPr="002C7D9C">
        <w:rPr>
          <w:rFonts w:cs="Times New Roman"/>
          <w:sz w:val="21"/>
          <w:lang w:eastAsia="fr-FR"/>
        </w:rPr>
        <w:t>Serge</w:t>
      </w:r>
      <w:r w:rsidR="002C7D9C">
        <w:rPr>
          <w:rFonts w:cs="Times New Roman"/>
          <w:sz w:val="21"/>
          <w:lang w:eastAsia="fr-FR"/>
        </w:rPr>
        <w:t xml:space="preserve"> </w:t>
      </w:r>
      <w:r w:rsidRPr="002C7D9C">
        <w:rPr>
          <w:rFonts w:cs="Times New Roman"/>
          <w:i/>
          <w:sz w:val="21"/>
          <w:lang w:eastAsia="fr-FR"/>
        </w:rPr>
        <w:t>et al.</w:t>
      </w:r>
      <w:r w:rsidRPr="002C7D9C">
        <w:rPr>
          <w:rFonts w:cs="Times New Roman"/>
          <w:sz w:val="21"/>
          <w:lang w:eastAsia="fr-FR"/>
        </w:rPr>
        <w:t xml:space="preserve">, </w:t>
      </w:r>
      <w:r w:rsidRPr="002C7D9C">
        <w:rPr>
          <w:rFonts w:cs="Times New Roman"/>
          <w:i/>
          <w:sz w:val="21"/>
          <w:lang w:eastAsia="fr-FR"/>
        </w:rPr>
        <w:t>La terre et les paysans en France et en Grande-Bretagne du début du XVII</w:t>
      </w:r>
      <w:r w:rsidRPr="002C7D9C">
        <w:rPr>
          <w:rStyle w:val="a-size-large"/>
          <w:i/>
          <w:color w:val="111111"/>
          <w:sz w:val="21"/>
          <w:vertAlign w:val="superscript"/>
          <w:lang w:eastAsia="fr-FR"/>
        </w:rPr>
        <w:t>e</w:t>
      </w:r>
      <w:r w:rsidRPr="002C7D9C">
        <w:rPr>
          <w:rFonts w:cs="Times New Roman"/>
          <w:i/>
          <w:sz w:val="21"/>
          <w:lang w:eastAsia="fr-FR"/>
        </w:rPr>
        <w:t xml:space="preserve"> siècle à la fin du 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Armand Colin, 1999</w:t>
      </w:r>
      <w:r w:rsidR="002C7D9C">
        <w:rPr>
          <w:rFonts w:cs="Times New Roman"/>
          <w:sz w:val="21"/>
          <w:lang w:eastAsia="fr-FR"/>
        </w:rPr>
        <w:t xml:space="preserve">. </w:t>
      </w:r>
    </w:p>
    <w:p w14:paraId="735E74D7" w14:textId="77777777" w:rsidR="008B1B81" w:rsidRPr="002C7D9C" w:rsidRDefault="008B1B81" w:rsidP="008B1B81">
      <w:pPr>
        <w:pStyle w:val="Biblio"/>
        <w:rPr>
          <w:sz w:val="21"/>
        </w:rPr>
      </w:pPr>
      <w:proofErr w:type="spellStart"/>
      <w:r w:rsidRPr="002C7D9C">
        <w:rPr>
          <w:rFonts w:cs="Times New Roman"/>
          <w:smallCaps/>
          <w:sz w:val="21"/>
          <w:lang w:eastAsia="fr-FR"/>
        </w:rPr>
        <w:t>Butel</w:t>
      </w:r>
      <w:proofErr w:type="spellEnd"/>
      <w:r w:rsidR="002C7D9C">
        <w:rPr>
          <w:rFonts w:cs="Times New Roman"/>
          <w:sz w:val="21"/>
          <w:lang w:eastAsia="fr-FR"/>
        </w:rPr>
        <w:t xml:space="preserve">, </w:t>
      </w:r>
      <w:r w:rsidRPr="002C7D9C">
        <w:rPr>
          <w:rFonts w:cs="Times New Roman"/>
          <w:sz w:val="21"/>
          <w:lang w:eastAsia="fr-FR"/>
        </w:rPr>
        <w:t xml:space="preserve">Paul, </w:t>
      </w:r>
      <w:r w:rsidRPr="002C7D9C">
        <w:rPr>
          <w:rFonts w:cs="Times New Roman"/>
          <w:i/>
          <w:sz w:val="21"/>
          <w:lang w:eastAsia="fr-FR"/>
        </w:rPr>
        <w:t>L’économie française au 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SEDES, 1995</w:t>
      </w:r>
      <w:r w:rsidR="002C7D9C">
        <w:rPr>
          <w:rFonts w:cs="Times New Roman"/>
          <w:sz w:val="21"/>
          <w:lang w:eastAsia="fr-FR"/>
        </w:rPr>
        <w:t xml:space="preserve">. </w:t>
      </w:r>
    </w:p>
    <w:p w14:paraId="09B559EA" w14:textId="77777777" w:rsidR="008B1B81" w:rsidRPr="002C7D9C" w:rsidRDefault="008B1B81" w:rsidP="008B1B81">
      <w:pPr>
        <w:pStyle w:val="Biblio"/>
        <w:rPr>
          <w:sz w:val="21"/>
        </w:rPr>
      </w:pPr>
      <w:proofErr w:type="spellStart"/>
      <w:r w:rsidRPr="002C7D9C">
        <w:rPr>
          <w:rFonts w:cs="Times New Roman"/>
          <w:smallCaps/>
          <w:sz w:val="21"/>
          <w:lang w:eastAsia="fr-FR"/>
        </w:rPr>
        <w:t>Delleaux</w:t>
      </w:r>
      <w:proofErr w:type="spellEnd"/>
      <w:r w:rsidR="002C7D9C">
        <w:rPr>
          <w:rFonts w:cs="Times New Roman"/>
          <w:sz w:val="21"/>
          <w:lang w:eastAsia="fr-FR"/>
        </w:rPr>
        <w:t xml:space="preserve">, </w:t>
      </w:r>
      <w:r w:rsidRPr="002C7D9C">
        <w:rPr>
          <w:rFonts w:cs="Times New Roman"/>
          <w:sz w:val="21"/>
          <w:lang w:eastAsia="fr-FR"/>
        </w:rPr>
        <w:t xml:space="preserve">Fulgence, </w:t>
      </w:r>
      <w:r w:rsidRPr="002C7D9C">
        <w:rPr>
          <w:rFonts w:cs="Times New Roman"/>
          <w:i/>
          <w:sz w:val="21"/>
          <w:lang w:eastAsia="fr-FR"/>
        </w:rPr>
        <w:t>Histoire économique de l’Europe moderne, XV</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Armand Colin, 2015</w:t>
      </w:r>
      <w:r w:rsidR="002C7D9C">
        <w:rPr>
          <w:rFonts w:cs="Times New Roman"/>
          <w:sz w:val="21"/>
          <w:lang w:eastAsia="fr-FR"/>
        </w:rPr>
        <w:t xml:space="preserve">. </w:t>
      </w:r>
    </w:p>
    <w:p w14:paraId="0D471896" w14:textId="77777777" w:rsidR="008B1B81" w:rsidRPr="002C7D9C" w:rsidRDefault="008B1B81" w:rsidP="008B1B81">
      <w:pPr>
        <w:pStyle w:val="Biblio"/>
        <w:rPr>
          <w:sz w:val="21"/>
        </w:rPr>
      </w:pPr>
      <w:proofErr w:type="spellStart"/>
      <w:r w:rsidRPr="002C7D9C">
        <w:rPr>
          <w:rFonts w:cs="Times New Roman"/>
          <w:smallCaps/>
          <w:sz w:val="21"/>
          <w:lang w:eastAsia="fr-FR"/>
        </w:rPr>
        <w:t>Delsalle</w:t>
      </w:r>
      <w:proofErr w:type="spellEnd"/>
      <w:r w:rsidR="002C7D9C">
        <w:rPr>
          <w:rFonts w:cs="Times New Roman"/>
          <w:sz w:val="21"/>
          <w:lang w:eastAsia="fr-FR"/>
        </w:rPr>
        <w:t xml:space="preserve">, </w:t>
      </w:r>
      <w:r w:rsidRPr="002C7D9C">
        <w:rPr>
          <w:rFonts w:cs="Times New Roman"/>
          <w:sz w:val="21"/>
          <w:lang w:eastAsia="fr-FR"/>
        </w:rPr>
        <w:t>Paul</w:t>
      </w:r>
      <w:r w:rsidR="002C7D9C">
        <w:rPr>
          <w:rFonts w:cs="Times New Roman"/>
          <w:sz w:val="21"/>
          <w:lang w:eastAsia="fr-FR"/>
        </w:rPr>
        <w:t>,</w:t>
      </w:r>
      <w:r w:rsidRPr="002C7D9C">
        <w:rPr>
          <w:rFonts w:cs="Times New Roman"/>
          <w:sz w:val="21"/>
          <w:lang w:eastAsia="fr-FR"/>
        </w:rPr>
        <w:t xml:space="preserve"> </w:t>
      </w:r>
      <w:r w:rsidRPr="002C7D9C">
        <w:rPr>
          <w:rFonts w:cs="Times New Roman"/>
          <w:i/>
          <w:sz w:val="21"/>
          <w:lang w:eastAsia="fr-FR"/>
        </w:rPr>
        <w:t>La France industrielle aux XVI</w:t>
      </w:r>
      <w:r w:rsidRPr="002C7D9C">
        <w:rPr>
          <w:rStyle w:val="a-size-large"/>
          <w:i/>
          <w:color w:val="111111"/>
          <w:sz w:val="21"/>
          <w:vertAlign w:val="superscript"/>
          <w:lang w:eastAsia="fr-FR"/>
        </w:rPr>
        <w:t>e</w:t>
      </w:r>
      <w:r w:rsidRPr="002C7D9C">
        <w:rPr>
          <w:rFonts w:cs="Times New Roman"/>
          <w:i/>
          <w:sz w:val="21"/>
          <w:lang w:eastAsia="fr-FR"/>
        </w:rPr>
        <w:t>, XVII</w:t>
      </w:r>
      <w:r w:rsidRPr="002C7D9C">
        <w:rPr>
          <w:rStyle w:val="a-size-large"/>
          <w:i/>
          <w:color w:val="111111"/>
          <w:sz w:val="21"/>
          <w:vertAlign w:val="superscript"/>
          <w:lang w:eastAsia="fr-FR"/>
        </w:rPr>
        <w:t>e</w:t>
      </w:r>
      <w:r w:rsidRPr="002C7D9C">
        <w:rPr>
          <w:rFonts w:cs="Times New Roman"/>
          <w:i/>
          <w:sz w:val="21"/>
          <w:lang w:eastAsia="fr-FR"/>
        </w:rPr>
        <w:t>, 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Gap, Ophrys, 2002</w:t>
      </w:r>
      <w:r w:rsidR="002C7D9C">
        <w:rPr>
          <w:rFonts w:cs="Times New Roman"/>
          <w:sz w:val="21"/>
          <w:lang w:eastAsia="fr-FR"/>
        </w:rPr>
        <w:t xml:space="preserve">. </w:t>
      </w:r>
    </w:p>
    <w:p w14:paraId="7B86FD44" w14:textId="77777777" w:rsidR="008B1B81" w:rsidRPr="002C7D9C" w:rsidRDefault="008B1B81" w:rsidP="008B1B81">
      <w:pPr>
        <w:pStyle w:val="Biblio"/>
        <w:rPr>
          <w:sz w:val="21"/>
        </w:rPr>
      </w:pPr>
      <w:r w:rsidRPr="002C7D9C">
        <w:rPr>
          <w:rFonts w:cs="Times New Roman"/>
          <w:smallCaps/>
          <w:sz w:val="21"/>
          <w:lang w:eastAsia="fr-FR"/>
        </w:rPr>
        <w:t>Fontaine</w:t>
      </w:r>
      <w:r w:rsidR="002C7D9C">
        <w:rPr>
          <w:rFonts w:cs="Times New Roman"/>
          <w:sz w:val="21"/>
          <w:lang w:eastAsia="fr-FR"/>
        </w:rPr>
        <w:t xml:space="preserve">, </w:t>
      </w:r>
      <w:r w:rsidRPr="002C7D9C">
        <w:rPr>
          <w:rFonts w:cs="Times New Roman"/>
          <w:sz w:val="21"/>
          <w:lang w:eastAsia="fr-FR"/>
        </w:rPr>
        <w:t xml:space="preserve">Laurence, </w:t>
      </w:r>
      <w:r w:rsidRPr="002C7D9C">
        <w:rPr>
          <w:i/>
          <w:iCs/>
          <w:sz w:val="21"/>
        </w:rPr>
        <w:t>L'Économie morale. Pauvreté, crédit et confiance dans l’Europe préindustrielle</w:t>
      </w:r>
      <w:r w:rsidRPr="002C7D9C">
        <w:rPr>
          <w:sz w:val="21"/>
        </w:rPr>
        <w:t>, Paris, Gallimard, 2008</w:t>
      </w:r>
      <w:r w:rsidR="002C7D9C">
        <w:rPr>
          <w:sz w:val="21"/>
        </w:rPr>
        <w:t>.</w:t>
      </w:r>
    </w:p>
    <w:p w14:paraId="04AF248D" w14:textId="77777777" w:rsidR="008B1B81" w:rsidRPr="002C7D9C" w:rsidRDefault="008B1B81" w:rsidP="008B1B81">
      <w:pPr>
        <w:pStyle w:val="Biblio"/>
        <w:rPr>
          <w:sz w:val="21"/>
        </w:rPr>
      </w:pPr>
      <w:r w:rsidRPr="002C7D9C">
        <w:rPr>
          <w:rFonts w:cs="Times New Roman"/>
          <w:smallCaps/>
          <w:sz w:val="21"/>
          <w:lang w:eastAsia="fr-FR"/>
        </w:rPr>
        <w:t>Grenier</w:t>
      </w:r>
      <w:r w:rsidR="002C7D9C">
        <w:rPr>
          <w:rFonts w:cs="Times New Roman"/>
          <w:sz w:val="21"/>
          <w:lang w:eastAsia="fr-FR"/>
        </w:rPr>
        <w:t xml:space="preserve">, </w:t>
      </w:r>
      <w:r w:rsidRPr="002C7D9C">
        <w:rPr>
          <w:rFonts w:cs="Times New Roman"/>
          <w:sz w:val="21"/>
          <w:lang w:eastAsia="fr-FR"/>
        </w:rPr>
        <w:t xml:space="preserve">Jean-Yves, </w:t>
      </w:r>
      <w:r w:rsidRPr="002C7D9C">
        <w:rPr>
          <w:rFonts w:cs="Times New Roman"/>
          <w:i/>
          <w:sz w:val="21"/>
          <w:lang w:eastAsia="fr-FR"/>
        </w:rPr>
        <w:t>Histoire de la pensée économique et politique de la France d’Ancien Régime</w:t>
      </w:r>
      <w:r w:rsidRPr="002C7D9C">
        <w:rPr>
          <w:rFonts w:cs="Times New Roman"/>
          <w:sz w:val="21"/>
          <w:lang w:eastAsia="fr-FR"/>
        </w:rPr>
        <w:t>, Paris, Hachette, 2007</w:t>
      </w:r>
    </w:p>
    <w:p w14:paraId="4E19D8AA" w14:textId="77777777" w:rsidR="008B1B81" w:rsidRPr="002C7D9C" w:rsidRDefault="008B1B81" w:rsidP="008B1B81">
      <w:pPr>
        <w:pStyle w:val="Biblio"/>
        <w:rPr>
          <w:sz w:val="21"/>
        </w:rPr>
      </w:pPr>
      <w:proofErr w:type="spellStart"/>
      <w:r w:rsidRPr="002C7D9C">
        <w:rPr>
          <w:rFonts w:cs="Times New Roman"/>
          <w:smallCaps/>
          <w:sz w:val="21"/>
          <w:lang w:eastAsia="fr-FR"/>
        </w:rPr>
        <w:t>Haudrère</w:t>
      </w:r>
      <w:proofErr w:type="spellEnd"/>
      <w:r w:rsidR="002C7D9C">
        <w:rPr>
          <w:rFonts w:cs="Times New Roman"/>
          <w:sz w:val="21"/>
          <w:lang w:eastAsia="fr-FR"/>
        </w:rPr>
        <w:t xml:space="preserve">, </w:t>
      </w:r>
      <w:r w:rsidRPr="002C7D9C">
        <w:rPr>
          <w:rFonts w:cs="Times New Roman"/>
          <w:sz w:val="21"/>
          <w:lang w:eastAsia="fr-FR"/>
        </w:rPr>
        <w:t xml:space="preserve">Philippe, </w:t>
      </w:r>
      <w:r w:rsidRPr="002C7D9C">
        <w:rPr>
          <w:rFonts w:cs="Times New Roman"/>
          <w:smallCaps/>
          <w:sz w:val="21"/>
          <w:lang w:eastAsia="fr-FR"/>
        </w:rPr>
        <w:t xml:space="preserve">Le </w:t>
      </w:r>
      <w:proofErr w:type="spellStart"/>
      <w:r w:rsidRPr="002C7D9C">
        <w:rPr>
          <w:rFonts w:cs="Times New Roman"/>
          <w:smallCaps/>
          <w:sz w:val="21"/>
          <w:lang w:eastAsia="fr-FR"/>
        </w:rPr>
        <w:t>Bouëdec</w:t>
      </w:r>
      <w:proofErr w:type="spellEnd"/>
      <w:r w:rsidR="002C7D9C">
        <w:rPr>
          <w:rFonts w:cs="Times New Roman"/>
          <w:sz w:val="21"/>
          <w:lang w:eastAsia="fr-FR"/>
        </w:rPr>
        <w:t xml:space="preserve">, </w:t>
      </w:r>
      <w:r w:rsidRPr="002C7D9C">
        <w:rPr>
          <w:rFonts w:cs="Times New Roman"/>
          <w:sz w:val="21"/>
          <w:lang w:eastAsia="fr-FR"/>
        </w:rPr>
        <w:t xml:space="preserve">Gérard, </w:t>
      </w:r>
      <w:r w:rsidRPr="002C7D9C">
        <w:rPr>
          <w:rFonts w:cs="Times New Roman"/>
          <w:i/>
          <w:sz w:val="21"/>
          <w:lang w:eastAsia="fr-FR"/>
        </w:rPr>
        <w:t>Les compagnies des Indes, XVII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Rennes, Ouest-France, 2011</w:t>
      </w:r>
      <w:r w:rsidR="002C7D9C">
        <w:rPr>
          <w:rFonts w:cs="Times New Roman"/>
          <w:sz w:val="21"/>
          <w:lang w:eastAsia="fr-FR"/>
        </w:rPr>
        <w:t xml:space="preserve">. </w:t>
      </w:r>
    </w:p>
    <w:p w14:paraId="5099C860" w14:textId="77777777" w:rsidR="008B1B81" w:rsidRPr="002C7D9C" w:rsidRDefault="008B1B81" w:rsidP="008B1B81">
      <w:pPr>
        <w:pStyle w:val="Biblio"/>
        <w:rPr>
          <w:sz w:val="21"/>
        </w:rPr>
      </w:pPr>
      <w:r w:rsidRPr="002C7D9C">
        <w:rPr>
          <w:rFonts w:cs="Calibri"/>
          <w:smallCaps/>
          <w:sz w:val="21"/>
          <w:lang w:eastAsia="fr-FR"/>
        </w:rPr>
        <w:t>Kaplan</w:t>
      </w:r>
      <w:r w:rsidR="00B9670F">
        <w:rPr>
          <w:rFonts w:cs="Calibri"/>
          <w:sz w:val="21"/>
          <w:lang w:eastAsia="fr-FR"/>
        </w:rPr>
        <w:t xml:space="preserve">, </w:t>
      </w:r>
      <w:r w:rsidRPr="002C7D9C">
        <w:rPr>
          <w:rFonts w:cs="Calibri"/>
          <w:sz w:val="21"/>
          <w:lang w:eastAsia="fr-FR"/>
        </w:rPr>
        <w:t xml:space="preserve">Steven, </w:t>
      </w:r>
      <w:r w:rsidRPr="002C7D9C">
        <w:rPr>
          <w:rFonts w:cs="Calibri"/>
          <w:i/>
          <w:sz w:val="21"/>
          <w:lang w:eastAsia="fr-FR"/>
        </w:rPr>
        <w:t>La fin des corporations</w:t>
      </w:r>
      <w:r w:rsidRPr="002C7D9C">
        <w:rPr>
          <w:rFonts w:cs="Calibri"/>
          <w:sz w:val="21"/>
          <w:lang w:eastAsia="fr-FR"/>
        </w:rPr>
        <w:t>, Paris, Fayard, 2001</w:t>
      </w:r>
      <w:r w:rsidR="002C7D9C">
        <w:rPr>
          <w:rFonts w:cs="Calibri"/>
          <w:sz w:val="21"/>
          <w:lang w:eastAsia="fr-FR"/>
        </w:rPr>
        <w:t xml:space="preserve">. </w:t>
      </w:r>
    </w:p>
    <w:p w14:paraId="36A8E3D1" w14:textId="77777777" w:rsidR="008B1B81" w:rsidRPr="002C7D9C" w:rsidRDefault="008B1B81" w:rsidP="008B1B81">
      <w:pPr>
        <w:pStyle w:val="Biblio"/>
        <w:rPr>
          <w:sz w:val="21"/>
        </w:rPr>
      </w:pPr>
      <w:proofErr w:type="spellStart"/>
      <w:r w:rsidRPr="002C7D9C">
        <w:rPr>
          <w:rFonts w:cs="Times New Roman"/>
          <w:smallCaps/>
          <w:sz w:val="21"/>
          <w:lang w:eastAsia="fr-FR"/>
        </w:rPr>
        <w:t>Legay</w:t>
      </w:r>
      <w:proofErr w:type="spellEnd"/>
      <w:r w:rsidR="00B9670F">
        <w:rPr>
          <w:rFonts w:cs="Times New Roman"/>
          <w:smallCaps/>
          <w:sz w:val="21"/>
          <w:lang w:eastAsia="fr-FR"/>
        </w:rPr>
        <w:t xml:space="preserve">, </w:t>
      </w:r>
      <w:r w:rsidRPr="002C7D9C">
        <w:rPr>
          <w:rFonts w:cs="Times New Roman"/>
          <w:sz w:val="21"/>
          <w:lang w:eastAsia="fr-FR"/>
        </w:rPr>
        <w:t xml:space="preserve">Marie-Laure, </w:t>
      </w:r>
      <w:r w:rsidRPr="002C7D9C">
        <w:rPr>
          <w:rFonts w:cs="Times New Roman"/>
          <w:i/>
          <w:sz w:val="21"/>
          <w:lang w:eastAsia="fr-FR"/>
        </w:rPr>
        <w:t>Histoire de l’argent à l’époque moderne</w:t>
      </w:r>
      <w:r w:rsidRPr="002C7D9C">
        <w:rPr>
          <w:rFonts w:cs="Times New Roman"/>
          <w:sz w:val="21"/>
          <w:lang w:eastAsia="fr-FR"/>
        </w:rPr>
        <w:t>, Paris, Armand Colin, 2014</w:t>
      </w:r>
      <w:r w:rsidR="002C7D9C">
        <w:rPr>
          <w:rFonts w:cs="Times New Roman"/>
          <w:sz w:val="21"/>
          <w:lang w:eastAsia="fr-FR"/>
        </w:rPr>
        <w:t xml:space="preserve">. </w:t>
      </w:r>
    </w:p>
    <w:p w14:paraId="083893B5" w14:textId="77777777" w:rsidR="008B1B81" w:rsidRPr="002C7D9C" w:rsidRDefault="008B1B81" w:rsidP="008B1B81">
      <w:pPr>
        <w:pStyle w:val="Biblio"/>
        <w:rPr>
          <w:sz w:val="21"/>
        </w:rPr>
      </w:pPr>
      <w:r w:rsidRPr="002C7D9C">
        <w:rPr>
          <w:rFonts w:cs="Times New Roman"/>
          <w:smallCaps/>
          <w:sz w:val="21"/>
          <w:lang w:eastAsia="fr-FR"/>
        </w:rPr>
        <w:t>Le Roy Ladurie</w:t>
      </w:r>
      <w:r w:rsidR="00B9670F">
        <w:rPr>
          <w:rFonts w:cs="Times New Roman"/>
          <w:sz w:val="21"/>
          <w:lang w:eastAsia="fr-FR"/>
        </w:rPr>
        <w:t xml:space="preserve">, </w:t>
      </w:r>
      <w:r w:rsidRPr="002C7D9C">
        <w:rPr>
          <w:rFonts w:cs="Times New Roman"/>
          <w:sz w:val="21"/>
          <w:lang w:eastAsia="fr-FR"/>
        </w:rPr>
        <w:t xml:space="preserve">Emmanuel, </w:t>
      </w:r>
      <w:r w:rsidRPr="002C7D9C">
        <w:rPr>
          <w:rFonts w:cs="Times New Roman"/>
          <w:i/>
          <w:iCs/>
          <w:color w:val="000000"/>
          <w:sz w:val="21"/>
          <w:shd w:val="clear" w:color="auto" w:fill="FFFFFF"/>
          <w:lang w:eastAsia="fr-FR"/>
        </w:rPr>
        <w:t>Histoire des paysans français : de la peste noire à la Révolution</w:t>
      </w:r>
      <w:r w:rsidRPr="002C7D9C">
        <w:rPr>
          <w:rFonts w:cs="Times New Roman"/>
          <w:color w:val="000000"/>
          <w:sz w:val="21"/>
          <w:shd w:val="clear" w:color="auto" w:fill="FFFFFF"/>
          <w:lang w:eastAsia="fr-FR"/>
        </w:rPr>
        <w:t>, Paris, Seuil, 2002</w:t>
      </w:r>
      <w:r w:rsidR="002C7D9C">
        <w:rPr>
          <w:rFonts w:cs="Times New Roman"/>
          <w:color w:val="000000"/>
          <w:sz w:val="21"/>
          <w:shd w:val="clear" w:color="auto" w:fill="FFFFFF"/>
          <w:lang w:eastAsia="fr-FR"/>
        </w:rPr>
        <w:t xml:space="preserve">. </w:t>
      </w:r>
    </w:p>
    <w:p w14:paraId="7D8744DE" w14:textId="77777777" w:rsidR="008B1B81" w:rsidRPr="002C7D9C" w:rsidRDefault="008B1B81" w:rsidP="008B1B81">
      <w:pPr>
        <w:pStyle w:val="Biblio"/>
        <w:rPr>
          <w:sz w:val="21"/>
        </w:rPr>
      </w:pPr>
      <w:r w:rsidRPr="002C7D9C">
        <w:rPr>
          <w:rFonts w:cs="Calibri"/>
          <w:smallCaps/>
          <w:sz w:val="21"/>
          <w:lang w:eastAsia="fr-FR"/>
        </w:rPr>
        <w:t>Minard</w:t>
      </w:r>
      <w:r w:rsidR="00B9670F">
        <w:rPr>
          <w:rFonts w:cs="Calibri"/>
          <w:sz w:val="21"/>
          <w:lang w:eastAsia="fr-FR"/>
        </w:rPr>
        <w:t xml:space="preserve">, </w:t>
      </w:r>
      <w:r w:rsidRPr="002C7D9C">
        <w:rPr>
          <w:rFonts w:cs="Calibri"/>
          <w:sz w:val="21"/>
          <w:lang w:eastAsia="fr-FR"/>
        </w:rPr>
        <w:t xml:space="preserve">Philippe, </w:t>
      </w:r>
      <w:r w:rsidRPr="002C7D9C">
        <w:rPr>
          <w:rFonts w:cs="Calibri"/>
          <w:i/>
          <w:iCs/>
          <w:sz w:val="21"/>
          <w:shd w:val="clear" w:color="auto" w:fill="FFFFFF"/>
          <w:lang w:eastAsia="fr-FR"/>
        </w:rPr>
        <w:t>La fortune du colbertisme, État et industrie dans la France des Lumières</w:t>
      </w:r>
      <w:r w:rsidRPr="002C7D9C">
        <w:rPr>
          <w:rFonts w:cs="Calibri"/>
          <w:sz w:val="21"/>
          <w:shd w:val="clear" w:color="auto" w:fill="FFFFFF"/>
          <w:lang w:eastAsia="fr-FR"/>
        </w:rPr>
        <w:t>, Paris, Fayard, 1998</w:t>
      </w:r>
      <w:r w:rsidR="002C7D9C">
        <w:rPr>
          <w:sz w:val="21"/>
        </w:rPr>
        <w:t xml:space="preserve">. </w:t>
      </w:r>
    </w:p>
    <w:p w14:paraId="4969E8BE" w14:textId="77777777" w:rsidR="008B1B81" w:rsidRPr="002C7D9C" w:rsidRDefault="008B1B81" w:rsidP="002C7D9C">
      <w:pPr>
        <w:pStyle w:val="Sansinterligne"/>
        <w:rPr>
          <w:lang w:eastAsia="fr-FR"/>
        </w:rPr>
      </w:pPr>
      <w:r>
        <w:rPr>
          <w:lang w:eastAsia="fr-FR"/>
        </w:rPr>
        <w:t>Histoire sociale</w:t>
      </w:r>
    </w:p>
    <w:p w14:paraId="7F1290AB" w14:textId="77777777" w:rsidR="008B1B81" w:rsidRPr="002C7D9C" w:rsidRDefault="008B1B81" w:rsidP="008B1B81">
      <w:pPr>
        <w:pStyle w:val="Biblio"/>
        <w:rPr>
          <w:sz w:val="21"/>
        </w:rPr>
      </w:pPr>
      <w:r w:rsidRPr="002C7D9C">
        <w:rPr>
          <w:rFonts w:cs="Times New Roman"/>
          <w:smallCaps/>
          <w:sz w:val="21"/>
          <w:shd w:val="clear" w:color="auto" w:fill="FFFFFF"/>
          <w:lang w:eastAsia="fr-FR"/>
        </w:rPr>
        <w:t>Aubert</w:t>
      </w:r>
      <w:r w:rsidR="00B9670F">
        <w:rPr>
          <w:rFonts w:cs="Times New Roman"/>
          <w:smallCaps/>
          <w:sz w:val="21"/>
          <w:shd w:val="clear" w:color="auto" w:fill="FFFFFF"/>
          <w:lang w:eastAsia="fr-FR"/>
        </w:rPr>
        <w:t xml:space="preserve">, </w:t>
      </w:r>
      <w:r w:rsidRPr="002C7D9C">
        <w:rPr>
          <w:rFonts w:cs="Times New Roman"/>
          <w:sz w:val="21"/>
          <w:shd w:val="clear" w:color="auto" w:fill="FFFFFF"/>
          <w:lang w:eastAsia="fr-FR"/>
        </w:rPr>
        <w:t xml:space="preserve">Gauthier, </w:t>
      </w:r>
      <w:r w:rsidRPr="002C7D9C">
        <w:rPr>
          <w:rFonts w:cs="Times New Roman"/>
          <w:i/>
          <w:sz w:val="21"/>
          <w:shd w:val="clear" w:color="auto" w:fill="FFFFFF"/>
          <w:lang w:eastAsia="fr-FR"/>
        </w:rPr>
        <w:t>Révoltes et répressions dans la France moderne</w:t>
      </w:r>
      <w:r w:rsidRPr="002C7D9C">
        <w:rPr>
          <w:rFonts w:cs="Times New Roman"/>
          <w:sz w:val="21"/>
          <w:shd w:val="clear" w:color="auto" w:fill="FFFFFF"/>
          <w:lang w:eastAsia="fr-FR"/>
        </w:rPr>
        <w:t>, Paris, Armand Colin, 2016</w:t>
      </w:r>
      <w:r w:rsidR="00B9670F">
        <w:rPr>
          <w:rFonts w:cs="Times New Roman"/>
          <w:sz w:val="21"/>
          <w:shd w:val="clear" w:color="auto" w:fill="FFFFFF"/>
          <w:lang w:eastAsia="fr-FR"/>
        </w:rPr>
        <w:t>.</w:t>
      </w:r>
    </w:p>
    <w:p w14:paraId="0644F38D" w14:textId="77777777" w:rsidR="008B1B81" w:rsidRPr="002C7D9C" w:rsidRDefault="008B1B81" w:rsidP="008B1B81">
      <w:pPr>
        <w:pStyle w:val="Biblio"/>
        <w:rPr>
          <w:sz w:val="21"/>
        </w:rPr>
      </w:pPr>
      <w:r w:rsidRPr="002C7D9C">
        <w:rPr>
          <w:rFonts w:cs="Calibri"/>
          <w:smallCaps/>
          <w:sz w:val="21"/>
          <w:lang w:eastAsia="fr-FR"/>
        </w:rPr>
        <w:t>Béguin</w:t>
      </w:r>
      <w:r w:rsidR="00B9670F">
        <w:rPr>
          <w:rFonts w:cs="Calibri"/>
          <w:sz w:val="21"/>
          <w:lang w:eastAsia="fr-FR"/>
        </w:rPr>
        <w:t xml:space="preserve">, </w:t>
      </w:r>
      <w:r w:rsidRPr="002C7D9C">
        <w:rPr>
          <w:rFonts w:cs="Calibri"/>
          <w:sz w:val="21"/>
          <w:lang w:eastAsia="fr-FR"/>
        </w:rPr>
        <w:t xml:space="preserve">Katia, </w:t>
      </w:r>
      <w:r w:rsidRPr="002C7D9C">
        <w:rPr>
          <w:rStyle w:val="Accentuation"/>
          <w:rFonts w:cs="Calibri"/>
          <w:bCs/>
          <w:color w:val="000000"/>
          <w:sz w:val="21"/>
          <w:shd w:val="clear" w:color="auto" w:fill="FFFFFF"/>
          <w:lang w:eastAsia="fr-FR"/>
        </w:rPr>
        <w:t xml:space="preserve">Les Princes de Condé. Rebelles, courtisans et mécènes </w:t>
      </w:r>
      <w:r w:rsidR="00A21A06">
        <w:rPr>
          <w:rStyle w:val="Accentuation"/>
          <w:rFonts w:cs="Calibri"/>
          <w:bCs/>
          <w:color w:val="000000"/>
          <w:sz w:val="21"/>
          <w:shd w:val="clear" w:color="auto" w:fill="FFFFFF"/>
          <w:lang w:eastAsia="fr-FR"/>
        </w:rPr>
        <w:t>…</w:t>
      </w:r>
      <w:r w:rsidRPr="002C7D9C">
        <w:rPr>
          <w:rFonts w:cs="Calibri"/>
          <w:color w:val="000000"/>
          <w:sz w:val="21"/>
          <w:shd w:val="clear" w:color="auto" w:fill="FFFFFF"/>
          <w:lang w:eastAsia="fr-FR"/>
        </w:rPr>
        <w:t>, Seyssel, Champ Vallon, 1999</w:t>
      </w:r>
      <w:r w:rsidR="00B9670F">
        <w:rPr>
          <w:rFonts w:cs="Calibri"/>
          <w:color w:val="000000"/>
          <w:sz w:val="21"/>
          <w:shd w:val="clear" w:color="auto" w:fill="FFFFFF"/>
          <w:lang w:eastAsia="fr-FR"/>
        </w:rPr>
        <w:t>.</w:t>
      </w:r>
    </w:p>
    <w:p w14:paraId="1E400C6A" w14:textId="77777777" w:rsidR="008B1B81" w:rsidRPr="002C7D9C" w:rsidRDefault="008B1B81" w:rsidP="008B1B81">
      <w:pPr>
        <w:pStyle w:val="Biblio"/>
        <w:rPr>
          <w:sz w:val="21"/>
        </w:rPr>
      </w:pPr>
      <w:proofErr w:type="spellStart"/>
      <w:r w:rsidRPr="002C7D9C">
        <w:rPr>
          <w:rFonts w:cs="Times New Roman"/>
          <w:smallCaps/>
          <w:sz w:val="21"/>
          <w:lang w:eastAsia="fr-FR"/>
        </w:rPr>
        <w:t>Béroujon</w:t>
      </w:r>
      <w:proofErr w:type="spellEnd"/>
      <w:r w:rsidR="00B9670F">
        <w:rPr>
          <w:rFonts w:cs="Times New Roman"/>
          <w:smallCaps/>
          <w:sz w:val="21"/>
          <w:lang w:eastAsia="fr-FR"/>
        </w:rPr>
        <w:t xml:space="preserve">, </w:t>
      </w:r>
      <w:r w:rsidRPr="00B9670F">
        <w:rPr>
          <w:rFonts w:cs="Times New Roman"/>
          <w:sz w:val="21"/>
          <w:lang w:eastAsia="fr-FR"/>
        </w:rPr>
        <w:t>Anne</w:t>
      </w:r>
      <w:r w:rsidRPr="002C7D9C">
        <w:rPr>
          <w:rFonts w:cs="Times New Roman"/>
          <w:smallCaps/>
          <w:sz w:val="21"/>
          <w:lang w:eastAsia="fr-FR"/>
        </w:rPr>
        <w:t xml:space="preserve">, </w:t>
      </w:r>
      <w:r w:rsidRPr="002C7D9C">
        <w:rPr>
          <w:rFonts w:cs="Times New Roman"/>
          <w:i/>
          <w:sz w:val="21"/>
          <w:lang w:eastAsia="fr-FR"/>
        </w:rPr>
        <w:t>Peuple et pauvres des villes dans la France moderne</w:t>
      </w:r>
      <w:r w:rsidRPr="002C7D9C">
        <w:rPr>
          <w:rFonts w:cs="Times New Roman"/>
          <w:sz w:val="21"/>
          <w:lang w:eastAsia="fr-FR"/>
        </w:rPr>
        <w:t>, Paris, Armand Colin, 2014</w:t>
      </w:r>
      <w:r w:rsidR="00B9670F">
        <w:rPr>
          <w:rFonts w:cs="Times New Roman"/>
          <w:sz w:val="21"/>
          <w:lang w:eastAsia="fr-FR"/>
        </w:rPr>
        <w:t>.</w:t>
      </w:r>
    </w:p>
    <w:p w14:paraId="1A290E16" w14:textId="77777777" w:rsidR="008B1B81" w:rsidRPr="002C7D9C" w:rsidRDefault="008B1B81" w:rsidP="008B1B81">
      <w:pPr>
        <w:pStyle w:val="Biblio"/>
        <w:rPr>
          <w:sz w:val="21"/>
        </w:rPr>
      </w:pPr>
      <w:r w:rsidRPr="002C7D9C">
        <w:rPr>
          <w:rFonts w:cs="Times New Roman"/>
          <w:smallCaps/>
          <w:sz w:val="21"/>
          <w:lang w:eastAsia="fr-FR"/>
        </w:rPr>
        <w:t>Bourquin</w:t>
      </w:r>
      <w:r w:rsidR="00B9670F">
        <w:rPr>
          <w:rFonts w:cs="Times New Roman"/>
          <w:sz w:val="21"/>
          <w:lang w:eastAsia="fr-FR"/>
        </w:rPr>
        <w:t xml:space="preserve">, </w:t>
      </w:r>
      <w:r w:rsidRPr="002C7D9C">
        <w:rPr>
          <w:rFonts w:cs="Times New Roman"/>
          <w:sz w:val="21"/>
          <w:lang w:eastAsia="fr-FR"/>
        </w:rPr>
        <w:t xml:space="preserve">Laurent, </w:t>
      </w:r>
      <w:r w:rsidRPr="002C7D9C">
        <w:rPr>
          <w:rFonts w:cs="Times New Roman"/>
          <w:i/>
          <w:sz w:val="21"/>
          <w:lang w:eastAsia="fr-FR"/>
        </w:rPr>
        <w:t>La noblesse dans la France moderne (XVI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Paris, Belin, 2002</w:t>
      </w:r>
      <w:r w:rsidR="00B9670F">
        <w:rPr>
          <w:rFonts w:cs="Times New Roman"/>
          <w:sz w:val="21"/>
          <w:lang w:eastAsia="fr-FR"/>
        </w:rPr>
        <w:t>.</w:t>
      </w:r>
    </w:p>
    <w:p w14:paraId="340E11B9" w14:textId="77777777" w:rsidR="008B1B81" w:rsidRPr="002C7D9C" w:rsidRDefault="008B1B81" w:rsidP="008B1B81">
      <w:pPr>
        <w:pStyle w:val="Biblio"/>
        <w:rPr>
          <w:sz w:val="21"/>
        </w:rPr>
      </w:pPr>
      <w:r w:rsidRPr="002C7D9C">
        <w:rPr>
          <w:rFonts w:cs="Times New Roman"/>
          <w:smallCaps/>
          <w:sz w:val="21"/>
          <w:lang w:eastAsia="fr-FR"/>
        </w:rPr>
        <w:t>Coste</w:t>
      </w:r>
      <w:r w:rsidR="00B9670F">
        <w:rPr>
          <w:rFonts w:cs="Times New Roman"/>
          <w:sz w:val="21"/>
          <w:lang w:eastAsia="fr-FR"/>
        </w:rPr>
        <w:t xml:space="preserve">, </w:t>
      </w:r>
      <w:r w:rsidRPr="002C7D9C">
        <w:rPr>
          <w:rFonts w:cs="Times New Roman"/>
          <w:sz w:val="21"/>
          <w:lang w:eastAsia="fr-FR"/>
        </w:rPr>
        <w:t xml:space="preserve">Laurent, </w:t>
      </w:r>
      <w:r w:rsidRPr="002C7D9C">
        <w:rPr>
          <w:rFonts w:cs="Times New Roman"/>
          <w:i/>
          <w:sz w:val="21"/>
          <w:lang w:eastAsia="fr-FR"/>
        </w:rPr>
        <w:t>Les bourgeoisies en France du XVI</w:t>
      </w:r>
      <w:r w:rsidRPr="002C7D9C">
        <w:rPr>
          <w:rStyle w:val="a-size-large"/>
          <w:i/>
          <w:color w:val="111111"/>
          <w:sz w:val="21"/>
          <w:vertAlign w:val="superscript"/>
          <w:lang w:eastAsia="fr-FR"/>
        </w:rPr>
        <w:t>e</w:t>
      </w:r>
      <w:r w:rsidRPr="002C7D9C">
        <w:rPr>
          <w:rFonts w:cs="Times New Roman"/>
          <w:i/>
          <w:sz w:val="21"/>
          <w:lang w:eastAsia="fr-FR"/>
        </w:rPr>
        <w:t xml:space="preserve"> au milieu du XIX</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Armand Colin, 2013</w:t>
      </w:r>
      <w:r w:rsidR="00B9670F">
        <w:rPr>
          <w:rFonts w:cs="Times New Roman"/>
          <w:sz w:val="21"/>
          <w:lang w:eastAsia="fr-FR"/>
        </w:rPr>
        <w:t>.</w:t>
      </w:r>
    </w:p>
    <w:p w14:paraId="1ACAB4BC" w14:textId="77777777" w:rsidR="008B1B81" w:rsidRPr="002C7D9C" w:rsidRDefault="008B1B81" w:rsidP="008B1B81">
      <w:pPr>
        <w:pStyle w:val="Biblio"/>
        <w:rPr>
          <w:sz w:val="21"/>
        </w:rPr>
      </w:pPr>
      <w:r w:rsidRPr="002C7D9C">
        <w:rPr>
          <w:rFonts w:cs="Times New Roman"/>
          <w:smallCaps/>
          <w:sz w:val="21"/>
          <w:lang w:eastAsia="fr-FR"/>
        </w:rPr>
        <w:t>Durand</w:t>
      </w:r>
      <w:r w:rsidR="00B9670F">
        <w:rPr>
          <w:rFonts w:cs="Times New Roman"/>
          <w:sz w:val="21"/>
          <w:lang w:eastAsia="fr-FR"/>
        </w:rPr>
        <w:t xml:space="preserve">, </w:t>
      </w:r>
      <w:r w:rsidRPr="002C7D9C">
        <w:rPr>
          <w:rFonts w:cs="Times New Roman"/>
          <w:sz w:val="21"/>
          <w:lang w:eastAsia="fr-FR"/>
        </w:rPr>
        <w:t xml:space="preserve">Stéphane, </w:t>
      </w:r>
      <w:r w:rsidRPr="002C7D9C">
        <w:rPr>
          <w:rFonts w:cs="Times New Roman"/>
          <w:i/>
          <w:sz w:val="21"/>
          <w:lang w:eastAsia="fr-FR"/>
        </w:rPr>
        <w:t>Les villes en France, XVI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Paris, Hachette, 2006</w:t>
      </w:r>
      <w:r w:rsidR="00B9670F">
        <w:rPr>
          <w:rFonts w:cs="Times New Roman"/>
          <w:sz w:val="21"/>
          <w:lang w:eastAsia="fr-FR"/>
        </w:rPr>
        <w:t>.</w:t>
      </w:r>
    </w:p>
    <w:p w14:paraId="6D84518F" w14:textId="77777777" w:rsidR="008B1B81" w:rsidRPr="002C7D9C" w:rsidRDefault="008B1B81" w:rsidP="008B1B81">
      <w:pPr>
        <w:pStyle w:val="Biblio"/>
        <w:rPr>
          <w:sz w:val="21"/>
        </w:rPr>
      </w:pPr>
      <w:r w:rsidRPr="002C7D9C">
        <w:rPr>
          <w:rFonts w:cs="Times New Roman"/>
          <w:smallCaps/>
          <w:sz w:val="21"/>
          <w:lang w:eastAsia="fr-FR"/>
        </w:rPr>
        <w:t>Follain</w:t>
      </w:r>
      <w:r w:rsidR="00B9670F">
        <w:rPr>
          <w:rFonts w:cs="Times New Roman"/>
          <w:smallCaps/>
          <w:sz w:val="21"/>
          <w:lang w:eastAsia="fr-FR"/>
        </w:rPr>
        <w:t xml:space="preserve">, </w:t>
      </w:r>
      <w:r w:rsidRPr="002C7D9C">
        <w:rPr>
          <w:rFonts w:cs="Times New Roman"/>
          <w:sz w:val="21"/>
          <w:lang w:eastAsia="fr-FR"/>
        </w:rPr>
        <w:t xml:space="preserve">Antoine, </w:t>
      </w:r>
      <w:r w:rsidRPr="002C7D9C">
        <w:rPr>
          <w:rFonts w:cs="Times New Roman"/>
          <w:i/>
          <w:sz w:val="21"/>
          <w:lang w:eastAsia="fr-FR"/>
        </w:rPr>
        <w:t>Le village sous l’Ancien Régime</w:t>
      </w:r>
      <w:r w:rsidRPr="002C7D9C">
        <w:rPr>
          <w:rFonts w:cs="Times New Roman"/>
          <w:sz w:val="21"/>
          <w:lang w:eastAsia="fr-FR"/>
        </w:rPr>
        <w:t>, Paris, Fayard, 2008</w:t>
      </w:r>
      <w:r w:rsidR="00B9670F">
        <w:rPr>
          <w:rFonts w:cs="Times New Roman"/>
          <w:sz w:val="21"/>
          <w:lang w:eastAsia="fr-FR"/>
        </w:rPr>
        <w:t>.</w:t>
      </w:r>
    </w:p>
    <w:p w14:paraId="0839BCCF" w14:textId="77777777" w:rsidR="008B1B81" w:rsidRPr="002C7D9C" w:rsidRDefault="008B1B81" w:rsidP="008B1B81">
      <w:pPr>
        <w:pStyle w:val="Biblio"/>
        <w:rPr>
          <w:sz w:val="21"/>
        </w:rPr>
      </w:pPr>
      <w:r w:rsidRPr="002C7D9C">
        <w:rPr>
          <w:rFonts w:cs="Times New Roman"/>
          <w:smallCaps/>
          <w:sz w:val="21"/>
          <w:lang w:eastAsia="fr-FR"/>
        </w:rPr>
        <w:t>Gallet</w:t>
      </w:r>
      <w:r w:rsidR="00B9670F">
        <w:rPr>
          <w:rFonts w:cs="Times New Roman"/>
          <w:smallCaps/>
          <w:sz w:val="21"/>
          <w:lang w:eastAsia="fr-FR"/>
        </w:rPr>
        <w:t xml:space="preserve">, </w:t>
      </w:r>
      <w:r w:rsidRPr="002C7D9C">
        <w:rPr>
          <w:rFonts w:cs="Times New Roman"/>
          <w:sz w:val="21"/>
          <w:lang w:eastAsia="fr-FR"/>
        </w:rPr>
        <w:t xml:space="preserve">Jean, </w:t>
      </w:r>
      <w:r w:rsidRPr="002C7D9C">
        <w:rPr>
          <w:rFonts w:cs="Times New Roman"/>
          <w:i/>
          <w:sz w:val="21"/>
          <w:lang w:eastAsia="fr-FR"/>
        </w:rPr>
        <w:t>Seigneurs et paysans en France, 1600-1793</w:t>
      </w:r>
      <w:r w:rsidRPr="002C7D9C">
        <w:rPr>
          <w:rFonts w:cs="Times New Roman"/>
          <w:sz w:val="21"/>
          <w:lang w:eastAsia="fr-FR"/>
        </w:rPr>
        <w:t>, Rennes, Ouest-France, 1999</w:t>
      </w:r>
      <w:r w:rsidR="00B9670F">
        <w:rPr>
          <w:rFonts w:cs="Times New Roman"/>
          <w:sz w:val="21"/>
          <w:lang w:eastAsia="fr-FR"/>
        </w:rPr>
        <w:t>.</w:t>
      </w:r>
    </w:p>
    <w:p w14:paraId="2A0D0D5E" w14:textId="77777777" w:rsidR="008B1B81" w:rsidRPr="002C7D9C" w:rsidRDefault="008B1B81" w:rsidP="008B1B81">
      <w:pPr>
        <w:pStyle w:val="Biblio"/>
        <w:rPr>
          <w:sz w:val="21"/>
        </w:rPr>
      </w:pPr>
      <w:proofErr w:type="spellStart"/>
      <w:r w:rsidRPr="002C7D9C">
        <w:rPr>
          <w:rFonts w:cs="Times New Roman"/>
          <w:smallCaps/>
          <w:sz w:val="21"/>
          <w:lang w:eastAsia="fr-FR"/>
        </w:rPr>
        <w:t>Godineau</w:t>
      </w:r>
      <w:proofErr w:type="spellEnd"/>
      <w:r w:rsidR="00B9670F">
        <w:rPr>
          <w:rFonts w:cs="Times New Roman"/>
          <w:smallCaps/>
          <w:sz w:val="21"/>
          <w:lang w:eastAsia="fr-FR"/>
        </w:rPr>
        <w:t xml:space="preserve">, </w:t>
      </w:r>
      <w:r w:rsidRPr="002C7D9C">
        <w:rPr>
          <w:rFonts w:cs="Times New Roman"/>
          <w:sz w:val="21"/>
          <w:lang w:eastAsia="fr-FR"/>
        </w:rPr>
        <w:t xml:space="preserve">Dominique, </w:t>
      </w:r>
      <w:r w:rsidRPr="002C7D9C">
        <w:rPr>
          <w:rFonts w:cs="Times New Roman"/>
          <w:i/>
          <w:sz w:val="21"/>
          <w:lang w:eastAsia="fr-FR"/>
        </w:rPr>
        <w:t>Les femmes dans la France moderne, XVI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Armand Colin, 2015</w:t>
      </w:r>
      <w:r w:rsidR="00B9670F">
        <w:rPr>
          <w:rFonts w:cs="Times New Roman"/>
          <w:sz w:val="21"/>
          <w:lang w:eastAsia="fr-FR"/>
        </w:rPr>
        <w:t>.</w:t>
      </w:r>
    </w:p>
    <w:p w14:paraId="51C6A384" w14:textId="77777777" w:rsidR="008B1B81" w:rsidRPr="002C7D9C" w:rsidRDefault="008B1B81" w:rsidP="008B1B81">
      <w:pPr>
        <w:pStyle w:val="Biblio"/>
        <w:rPr>
          <w:sz w:val="21"/>
        </w:rPr>
      </w:pPr>
      <w:r w:rsidRPr="002C7D9C">
        <w:rPr>
          <w:rFonts w:cs="Times New Roman"/>
          <w:smallCaps/>
          <w:sz w:val="21"/>
          <w:lang w:eastAsia="fr-FR"/>
        </w:rPr>
        <w:t>Gutton</w:t>
      </w:r>
      <w:r w:rsidR="00B9670F">
        <w:rPr>
          <w:rFonts w:cs="Times New Roman"/>
          <w:smallCaps/>
          <w:sz w:val="21"/>
          <w:lang w:eastAsia="fr-FR"/>
        </w:rPr>
        <w:t xml:space="preserve">, </w:t>
      </w:r>
      <w:r w:rsidRPr="002C7D9C">
        <w:rPr>
          <w:rFonts w:cs="Times New Roman"/>
          <w:sz w:val="21"/>
          <w:lang w:eastAsia="fr-FR"/>
        </w:rPr>
        <w:t xml:space="preserve">Jean-Pierre, </w:t>
      </w:r>
      <w:r w:rsidRPr="002C7D9C">
        <w:rPr>
          <w:rFonts w:cs="Times New Roman"/>
          <w:i/>
          <w:sz w:val="21"/>
          <w:lang w:eastAsia="fr-FR"/>
        </w:rPr>
        <w:t>La sociabilité villageoise dans la France d’Ancien Régime</w:t>
      </w:r>
      <w:r w:rsidRPr="002C7D9C">
        <w:rPr>
          <w:rFonts w:cs="Times New Roman"/>
          <w:sz w:val="21"/>
          <w:lang w:eastAsia="fr-FR"/>
        </w:rPr>
        <w:t>, Paris, Hachette, 1998</w:t>
      </w:r>
      <w:r w:rsidR="00B9670F">
        <w:rPr>
          <w:rFonts w:cs="Times New Roman"/>
          <w:sz w:val="21"/>
          <w:lang w:eastAsia="fr-FR"/>
        </w:rPr>
        <w:t>.</w:t>
      </w:r>
    </w:p>
    <w:p w14:paraId="4C7BED06" w14:textId="77777777" w:rsidR="008B1B81" w:rsidRPr="002C7D9C" w:rsidRDefault="008B1B81" w:rsidP="008B1B81">
      <w:pPr>
        <w:pStyle w:val="Biblio"/>
        <w:rPr>
          <w:sz w:val="21"/>
        </w:rPr>
      </w:pPr>
      <w:proofErr w:type="spellStart"/>
      <w:r w:rsidRPr="002C7D9C">
        <w:rPr>
          <w:rFonts w:cs="Times New Roman"/>
          <w:smallCaps/>
          <w:sz w:val="21"/>
          <w:lang w:eastAsia="fr-FR"/>
        </w:rPr>
        <w:t>Hours</w:t>
      </w:r>
      <w:proofErr w:type="spellEnd"/>
      <w:r w:rsidR="00B9670F">
        <w:rPr>
          <w:rFonts w:cs="Times New Roman"/>
          <w:sz w:val="21"/>
          <w:lang w:eastAsia="fr-FR"/>
        </w:rPr>
        <w:t xml:space="preserve">, </w:t>
      </w:r>
      <w:r w:rsidRPr="002C7D9C">
        <w:rPr>
          <w:rFonts w:cs="Times New Roman"/>
          <w:sz w:val="21"/>
          <w:lang w:eastAsia="fr-FR"/>
        </w:rPr>
        <w:t xml:space="preserve">Bernard, </w:t>
      </w:r>
      <w:r w:rsidRPr="002C7D9C">
        <w:rPr>
          <w:rFonts w:cs="Times New Roman"/>
          <w:i/>
          <w:sz w:val="21"/>
          <w:lang w:eastAsia="fr-FR"/>
        </w:rPr>
        <w:t>Louis XV et sa Cour</w:t>
      </w:r>
      <w:r w:rsidRPr="002C7D9C">
        <w:rPr>
          <w:rFonts w:cs="Times New Roman"/>
          <w:sz w:val="21"/>
          <w:lang w:eastAsia="fr-FR"/>
        </w:rPr>
        <w:t>, Paris, PUF, 2002</w:t>
      </w:r>
      <w:r w:rsidR="00B9670F">
        <w:rPr>
          <w:rFonts w:cs="Times New Roman"/>
          <w:sz w:val="21"/>
          <w:lang w:eastAsia="fr-FR"/>
        </w:rPr>
        <w:t>.</w:t>
      </w:r>
    </w:p>
    <w:p w14:paraId="4940D280" w14:textId="77777777" w:rsidR="008B1B81" w:rsidRPr="002C7D9C" w:rsidRDefault="008B1B81" w:rsidP="008B1B81">
      <w:pPr>
        <w:pStyle w:val="Biblio"/>
        <w:rPr>
          <w:sz w:val="21"/>
        </w:rPr>
      </w:pPr>
      <w:proofErr w:type="spellStart"/>
      <w:r w:rsidRPr="002C7D9C">
        <w:rPr>
          <w:rFonts w:cs="Times New Roman"/>
          <w:smallCaps/>
          <w:sz w:val="21"/>
          <w:lang w:eastAsia="fr-FR"/>
        </w:rPr>
        <w:t>Lilti</w:t>
      </w:r>
      <w:proofErr w:type="spellEnd"/>
      <w:r w:rsidR="00B9670F">
        <w:rPr>
          <w:rFonts w:cs="Times New Roman"/>
          <w:smallCaps/>
          <w:sz w:val="21"/>
          <w:lang w:eastAsia="fr-FR"/>
        </w:rPr>
        <w:t xml:space="preserve">, </w:t>
      </w:r>
      <w:r w:rsidRPr="002C7D9C">
        <w:rPr>
          <w:rFonts w:cs="Times New Roman"/>
          <w:sz w:val="21"/>
          <w:lang w:eastAsia="fr-FR"/>
        </w:rPr>
        <w:t xml:space="preserve">Antoine, </w:t>
      </w:r>
      <w:r w:rsidRPr="002C7D9C">
        <w:rPr>
          <w:rFonts w:cs="Times New Roman"/>
          <w:i/>
          <w:sz w:val="21"/>
          <w:lang w:eastAsia="fr-FR"/>
        </w:rPr>
        <w:t>Le monde des salons. Sociabilité et mondanité à Paris au XVIII</w:t>
      </w:r>
      <w:r w:rsidRPr="002C7D9C">
        <w:rPr>
          <w:rStyle w:val="a-size-large"/>
          <w:i/>
          <w:color w:val="111111"/>
          <w:sz w:val="21"/>
          <w:vertAlign w:val="superscript"/>
          <w:lang w:eastAsia="fr-FR"/>
        </w:rPr>
        <w:t>e</w:t>
      </w:r>
      <w:r w:rsidRPr="002C7D9C">
        <w:rPr>
          <w:rFonts w:cs="Times New Roman"/>
          <w:i/>
          <w:sz w:val="21"/>
          <w:lang w:eastAsia="fr-FR"/>
        </w:rPr>
        <w:t xml:space="preserve"> siècle</w:t>
      </w:r>
      <w:r w:rsidRPr="002C7D9C">
        <w:rPr>
          <w:rFonts w:cs="Times New Roman"/>
          <w:sz w:val="21"/>
          <w:lang w:eastAsia="fr-FR"/>
        </w:rPr>
        <w:t>, Paris, Fayard, 2005</w:t>
      </w:r>
      <w:r w:rsidR="00B9670F">
        <w:rPr>
          <w:rFonts w:cs="Times New Roman"/>
          <w:sz w:val="21"/>
          <w:lang w:eastAsia="fr-FR"/>
        </w:rPr>
        <w:t>.</w:t>
      </w:r>
    </w:p>
    <w:p w14:paraId="56D851BD" w14:textId="77777777" w:rsidR="008B1B81" w:rsidRPr="002C7D9C" w:rsidRDefault="008B1B81" w:rsidP="008B1B81">
      <w:pPr>
        <w:pStyle w:val="Biblio"/>
        <w:rPr>
          <w:sz w:val="21"/>
        </w:rPr>
      </w:pPr>
      <w:r w:rsidRPr="002C7D9C">
        <w:rPr>
          <w:rFonts w:cs="Times New Roman"/>
          <w:smallCaps/>
          <w:sz w:val="21"/>
          <w:lang w:eastAsia="fr-FR"/>
        </w:rPr>
        <w:t>Nassiet</w:t>
      </w:r>
      <w:r w:rsidR="00B9670F">
        <w:rPr>
          <w:rFonts w:cs="Times New Roman"/>
          <w:sz w:val="21"/>
          <w:lang w:eastAsia="fr-FR"/>
        </w:rPr>
        <w:t xml:space="preserve">, </w:t>
      </w:r>
      <w:r w:rsidRPr="002C7D9C">
        <w:rPr>
          <w:rFonts w:cs="Times New Roman"/>
          <w:sz w:val="21"/>
          <w:lang w:eastAsia="fr-FR"/>
        </w:rPr>
        <w:t>Miche</w:t>
      </w:r>
      <w:r w:rsidR="00B9670F">
        <w:rPr>
          <w:rFonts w:cs="Times New Roman"/>
          <w:sz w:val="21"/>
          <w:lang w:eastAsia="fr-FR"/>
        </w:rPr>
        <w:t>l</w:t>
      </w:r>
      <w:r w:rsidRPr="002C7D9C">
        <w:rPr>
          <w:rFonts w:cs="Times New Roman"/>
          <w:sz w:val="21"/>
          <w:lang w:eastAsia="fr-FR"/>
        </w:rPr>
        <w:t xml:space="preserve">, </w:t>
      </w:r>
      <w:r w:rsidRPr="002C7D9C">
        <w:rPr>
          <w:rFonts w:cs="Times New Roman"/>
          <w:i/>
          <w:sz w:val="21"/>
          <w:lang w:eastAsia="fr-FR"/>
        </w:rPr>
        <w:t>La violence, une histoire sociale. France, XVI</w:t>
      </w:r>
      <w:r w:rsidRPr="002C7D9C">
        <w:rPr>
          <w:rStyle w:val="a-size-large"/>
          <w:i/>
          <w:color w:val="111111"/>
          <w:sz w:val="21"/>
          <w:vertAlign w:val="superscript"/>
          <w:lang w:eastAsia="fr-FR"/>
        </w:rPr>
        <w:t>e</w:t>
      </w:r>
      <w:r w:rsidRPr="002C7D9C">
        <w:rPr>
          <w:rFonts w:cs="Times New Roman"/>
          <w:i/>
          <w:sz w:val="21"/>
          <w:lang w:eastAsia="fr-FR"/>
        </w:rPr>
        <w:t>-XVIII</w:t>
      </w:r>
      <w:r w:rsidRPr="002C7D9C">
        <w:rPr>
          <w:rStyle w:val="a-size-large"/>
          <w:i/>
          <w:color w:val="111111"/>
          <w:sz w:val="21"/>
          <w:vertAlign w:val="superscript"/>
          <w:lang w:eastAsia="fr-FR"/>
        </w:rPr>
        <w:t>e</w:t>
      </w:r>
      <w:r w:rsidRPr="002C7D9C">
        <w:rPr>
          <w:rFonts w:cs="Times New Roman"/>
          <w:i/>
          <w:sz w:val="21"/>
          <w:lang w:eastAsia="fr-FR"/>
        </w:rPr>
        <w:t xml:space="preserve"> siècles</w:t>
      </w:r>
      <w:r w:rsidRPr="002C7D9C">
        <w:rPr>
          <w:rFonts w:cs="Times New Roman"/>
          <w:sz w:val="21"/>
          <w:lang w:eastAsia="fr-FR"/>
        </w:rPr>
        <w:t>, Seyssel, Champ Vallon, 2011</w:t>
      </w:r>
      <w:r w:rsidR="00B9670F">
        <w:rPr>
          <w:rFonts w:cs="Times New Roman"/>
          <w:sz w:val="21"/>
          <w:lang w:eastAsia="fr-FR"/>
        </w:rPr>
        <w:t>.</w:t>
      </w:r>
    </w:p>
    <w:p w14:paraId="43C4A650" w14:textId="77777777" w:rsidR="008B1B81" w:rsidRPr="002C7D9C" w:rsidRDefault="008B1B81" w:rsidP="008B1B81">
      <w:pPr>
        <w:pStyle w:val="Biblio"/>
        <w:rPr>
          <w:sz w:val="21"/>
        </w:rPr>
      </w:pPr>
      <w:r w:rsidRPr="002C7D9C">
        <w:rPr>
          <w:rFonts w:cs="Times New Roman"/>
          <w:smallCaps/>
          <w:sz w:val="21"/>
          <w:lang w:eastAsia="fr-FR"/>
        </w:rPr>
        <w:t>Nicolas</w:t>
      </w:r>
      <w:r w:rsidR="00B9670F">
        <w:rPr>
          <w:rFonts w:cs="Times New Roman"/>
          <w:sz w:val="21"/>
          <w:lang w:eastAsia="fr-FR"/>
        </w:rPr>
        <w:t>, J</w:t>
      </w:r>
      <w:r w:rsidRPr="002C7D9C">
        <w:rPr>
          <w:rFonts w:cs="Times New Roman"/>
          <w:sz w:val="21"/>
          <w:lang w:eastAsia="fr-FR"/>
        </w:rPr>
        <w:t xml:space="preserve">ean, </w:t>
      </w:r>
      <w:r w:rsidRPr="002C7D9C">
        <w:rPr>
          <w:rFonts w:cs="Times New Roman"/>
          <w:i/>
          <w:iCs/>
          <w:color w:val="000000"/>
          <w:sz w:val="21"/>
          <w:shd w:val="clear" w:color="auto" w:fill="FFFFFF"/>
          <w:lang w:eastAsia="fr-FR"/>
        </w:rPr>
        <w:t>La Rébellion française, mouvements populaires et conscience sociale (1661-1789)</w:t>
      </w:r>
      <w:r w:rsidRPr="002C7D9C">
        <w:rPr>
          <w:rFonts w:cs="Times New Roman"/>
          <w:color w:val="000000"/>
          <w:sz w:val="21"/>
          <w:shd w:val="clear" w:color="auto" w:fill="FFFFFF"/>
          <w:lang w:eastAsia="fr-FR"/>
        </w:rPr>
        <w:t>, Paris, Seuil, 2002</w:t>
      </w:r>
      <w:r w:rsidR="00B9670F">
        <w:rPr>
          <w:rFonts w:cs="Times New Roman"/>
          <w:color w:val="000000"/>
          <w:sz w:val="21"/>
          <w:shd w:val="clear" w:color="auto" w:fill="FFFFFF"/>
          <w:lang w:eastAsia="fr-FR"/>
        </w:rPr>
        <w:t>.</w:t>
      </w:r>
    </w:p>
    <w:p w14:paraId="6A2D1F0E" w14:textId="77777777" w:rsidR="008B1B81" w:rsidRPr="002C7D9C" w:rsidRDefault="008B1B81" w:rsidP="008B1B81">
      <w:pPr>
        <w:pStyle w:val="Biblio"/>
        <w:rPr>
          <w:sz w:val="21"/>
        </w:rPr>
      </w:pPr>
      <w:r w:rsidRPr="002C7D9C">
        <w:rPr>
          <w:rFonts w:cs="Times New Roman"/>
          <w:smallCaps/>
          <w:color w:val="000000"/>
          <w:sz w:val="21"/>
          <w:shd w:val="clear" w:color="auto" w:fill="FFFFFF"/>
          <w:lang w:eastAsia="fr-FR"/>
        </w:rPr>
        <w:t>Roche</w:t>
      </w:r>
      <w:r w:rsidR="00B9670F">
        <w:rPr>
          <w:rFonts w:cs="Times New Roman"/>
          <w:color w:val="000000"/>
          <w:sz w:val="21"/>
          <w:shd w:val="clear" w:color="auto" w:fill="FFFFFF"/>
          <w:lang w:eastAsia="fr-FR"/>
        </w:rPr>
        <w:t xml:space="preserve">, </w:t>
      </w:r>
      <w:r w:rsidRPr="002C7D9C">
        <w:rPr>
          <w:rFonts w:cs="Times New Roman"/>
          <w:color w:val="000000"/>
          <w:sz w:val="21"/>
          <w:shd w:val="clear" w:color="auto" w:fill="FFFFFF"/>
          <w:lang w:eastAsia="fr-FR"/>
        </w:rPr>
        <w:t xml:space="preserve">Daniel, </w:t>
      </w:r>
      <w:r w:rsidRPr="002C7D9C">
        <w:rPr>
          <w:rFonts w:cs="Times New Roman"/>
          <w:i/>
          <w:iCs/>
          <w:color w:val="000000"/>
          <w:sz w:val="21"/>
          <w:shd w:val="clear" w:color="auto" w:fill="FFFFFF"/>
          <w:lang w:eastAsia="fr-FR"/>
        </w:rPr>
        <w:t>Les circulations dans l'Europe moderne</w:t>
      </w:r>
      <w:r w:rsidRPr="002C7D9C">
        <w:rPr>
          <w:rFonts w:cs="Times New Roman"/>
          <w:color w:val="000000"/>
          <w:sz w:val="21"/>
          <w:shd w:val="clear" w:color="auto" w:fill="FFFFFF"/>
          <w:lang w:eastAsia="fr-FR"/>
        </w:rPr>
        <w:t>, Paris, Hachette, 2011 (1</w:t>
      </w:r>
      <w:r w:rsidRPr="002C7D9C">
        <w:rPr>
          <w:color w:val="000000"/>
          <w:sz w:val="21"/>
          <w:shd w:val="clear" w:color="auto" w:fill="FFFFFF"/>
          <w:vertAlign w:val="superscript"/>
        </w:rPr>
        <w:t>ère</w:t>
      </w:r>
      <w:r w:rsidRPr="002C7D9C">
        <w:rPr>
          <w:rFonts w:cs="Times New Roman"/>
          <w:color w:val="000000"/>
          <w:sz w:val="21"/>
          <w:shd w:val="clear" w:color="auto" w:fill="FFFFFF"/>
          <w:lang w:eastAsia="fr-FR"/>
        </w:rPr>
        <w:t xml:space="preserve"> éd. Fayard, 2003 sous le titre </w:t>
      </w:r>
      <w:r w:rsidRPr="002C7D9C">
        <w:rPr>
          <w:rFonts w:cs="Times New Roman"/>
          <w:i/>
          <w:color w:val="000000"/>
          <w:sz w:val="21"/>
          <w:shd w:val="clear" w:color="auto" w:fill="FFFFFF"/>
          <w:lang w:eastAsia="fr-FR"/>
        </w:rPr>
        <w:t>Humeurs vagabondes…</w:t>
      </w:r>
      <w:r w:rsidRPr="002C7D9C">
        <w:rPr>
          <w:rFonts w:cs="Times New Roman"/>
          <w:color w:val="000000"/>
          <w:sz w:val="21"/>
          <w:shd w:val="clear" w:color="auto" w:fill="FFFFFF"/>
          <w:lang w:eastAsia="fr-FR"/>
        </w:rPr>
        <w:t>)</w:t>
      </w:r>
    </w:p>
    <w:p w14:paraId="600D4DAD" w14:textId="77777777" w:rsidR="008B1B81" w:rsidRPr="002C7D9C" w:rsidRDefault="008B1B81" w:rsidP="008B1B81">
      <w:pPr>
        <w:pStyle w:val="Biblio"/>
        <w:rPr>
          <w:sz w:val="21"/>
        </w:rPr>
      </w:pPr>
      <w:proofErr w:type="spellStart"/>
      <w:r w:rsidRPr="002C7D9C">
        <w:rPr>
          <w:rFonts w:cs="Times New Roman"/>
          <w:smallCaps/>
          <w:color w:val="000000"/>
          <w:sz w:val="21"/>
          <w:shd w:val="clear" w:color="auto" w:fill="FFFFFF"/>
          <w:lang w:eastAsia="fr-FR"/>
        </w:rPr>
        <w:t>Solnon</w:t>
      </w:r>
      <w:proofErr w:type="spellEnd"/>
      <w:r w:rsidR="00245BE6">
        <w:rPr>
          <w:rFonts w:cs="Times New Roman"/>
          <w:color w:val="000000"/>
          <w:sz w:val="21"/>
          <w:shd w:val="clear" w:color="auto" w:fill="FFFFFF"/>
          <w:lang w:eastAsia="fr-FR"/>
        </w:rPr>
        <w:t xml:space="preserve">, </w:t>
      </w:r>
      <w:r w:rsidRPr="002C7D9C">
        <w:rPr>
          <w:rFonts w:cs="Times New Roman"/>
          <w:color w:val="000000"/>
          <w:sz w:val="21"/>
          <w:shd w:val="clear" w:color="auto" w:fill="FFFFFF"/>
          <w:lang w:eastAsia="fr-FR"/>
        </w:rPr>
        <w:t xml:space="preserve">Jean-François, </w:t>
      </w:r>
      <w:r w:rsidRPr="002C7D9C">
        <w:rPr>
          <w:rFonts w:cs="Times New Roman"/>
          <w:i/>
          <w:color w:val="000000"/>
          <w:sz w:val="21"/>
          <w:shd w:val="clear" w:color="auto" w:fill="FFFFFF"/>
          <w:lang w:eastAsia="fr-FR"/>
        </w:rPr>
        <w:t>La Cour de France</w:t>
      </w:r>
      <w:r w:rsidRPr="002C7D9C">
        <w:rPr>
          <w:rFonts w:cs="Times New Roman"/>
          <w:color w:val="000000"/>
          <w:sz w:val="21"/>
          <w:shd w:val="clear" w:color="auto" w:fill="FFFFFF"/>
          <w:lang w:eastAsia="fr-FR"/>
        </w:rPr>
        <w:t>, Paris, Perrin, 2014 (1</w:t>
      </w:r>
      <w:r w:rsidRPr="002C7D9C">
        <w:rPr>
          <w:color w:val="000000"/>
          <w:sz w:val="21"/>
          <w:shd w:val="clear" w:color="auto" w:fill="FFFFFF"/>
          <w:vertAlign w:val="superscript"/>
        </w:rPr>
        <w:t>ère</w:t>
      </w:r>
      <w:r w:rsidRPr="002C7D9C">
        <w:rPr>
          <w:rFonts w:cs="Times New Roman"/>
          <w:color w:val="000000"/>
          <w:sz w:val="21"/>
          <w:shd w:val="clear" w:color="auto" w:fill="FFFFFF"/>
          <w:lang w:eastAsia="fr-FR"/>
        </w:rPr>
        <w:t xml:space="preserve"> éd. 1987)</w:t>
      </w:r>
      <w:r w:rsidR="00245BE6">
        <w:rPr>
          <w:rFonts w:cs="Times New Roman"/>
          <w:color w:val="000000"/>
          <w:sz w:val="21"/>
          <w:shd w:val="clear" w:color="auto" w:fill="FFFFFF"/>
          <w:lang w:eastAsia="fr-FR"/>
        </w:rPr>
        <w:t>.</w:t>
      </w:r>
    </w:p>
    <w:p w14:paraId="7969CDC5" w14:textId="77777777" w:rsidR="008B1B81" w:rsidRPr="00245BE6" w:rsidRDefault="008B1B81" w:rsidP="00245BE6">
      <w:pPr>
        <w:pStyle w:val="Sansinterligne"/>
        <w:rPr>
          <w:lang w:eastAsia="fr-FR"/>
        </w:rPr>
      </w:pPr>
      <w:r>
        <w:rPr>
          <w:lang w:eastAsia="fr-FR"/>
        </w:rPr>
        <w:t>Histoire culturelle et religieuse</w:t>
      </w:r>
    </w:p>
    <w:p w14:paraId="6B07FC4B" w14:textId="77777777" w:rsidR="008B1B81" w:rsidRPr="00FA3259" w:rsidRDefault="008B1B81" w:rsidP="008B1B81">
      <w:pPr>
        <w:pStyle w:val="Biblio"/>
        <w:rPr>
          <w:sz w:val="21"/>
          <w:szCs w:val="21"/>
        </w:rPr>
      </w:pPr>
      <w:r w:rsidRPr="00FA3259">
        <w:rPr>
          <w:rFonts w:cs="Times New Roman"/>
          <w:smallCaps/>
          <w:sz w:val="21"/>
          <w:szCs w:val="21"/>
          <w:lang w:eastAsia="fr-FR"/>
        </w:rPr>
        <w:t>Beaurepaire</w:t>
      </w:r>
      <w:r w:rsidR="00FA3259">
        <w:rPr>
          <w:rFonts w:cs="Times New Roman"/>
          <w:smallCaps/>
          <w:sz w:val="21"/>
          <w:szCs w:val="21"/>
          <w:lang w:eastAsia="fr-FR"/>
        </w:rPr>
        <w:t xml:space="preserve">, </w:t>
      </w:r>
      <w:r w:rsidRPr="00FA3259">
        <w:rPr>
          <w:rFonts w:cs="Times New Roman"/>
          <w:sz w:val="21"/>
          <w:szCs w:val="21"/>
          <w:lang w:eastAsia="fr-FR"/>
        </w:rPr>
        <w:t xml:space="preserve">Pierre-Yves, </w:t>
      </w:r>
      <w:r w:rsidRPr="00FA3259">
        <w:rPr>
          <w:rFonts w:cs="Times New Roman"/>
          <w:i/>
          <w:iCs/>
          <w:sz w:val="21"/>
          <w:szCs w:val="21"/>
          <w:lang w:eastAsia="fr-FR"/>
        </w:rPr>
        <w:t>Les Lumières et le monde. Voyager, explorer, collectionner</w:t>
      </w:r>
      <w:r w:rsidRPr="00FA3259">
        <w:rPr>
          <w:rFonts w:cs="Times New Roman"/>
          <w:sz w:val="21"/>
          <w:szCs w:val="21"/>
          <w:lang w:eastAsia="fr-FR"/>
        </w:rPr>
        <w:t>, Paris, Belin, 2019</w:t>
      </w:r>
      <w:r w:rsidR="00FA3259">
        <w:rPr>
          <w:rFonts w:cs="Times New Roman"/>
          <w:sz w:val="21"/>
          <w:szCs w:val="21"/>
          <w:lang w:eastAsia="fr-FR"/>
        </w:rPr>
        <w:t>.</w:t>
      </w:r>
    </w:p>
    <w:p w14:paraId="2C66C1A8" w14:textId="77777777" w:rsidR="008B1B81" w:rsidRPr="00FA3259" w:rsidRDefault="008B1B81" w:rsidP="008B1B81">
      <w:pPr>
        <w:pStyle w:val="Biblio"/>
        <w:rPr>
          <w:sz w:val="21"/>
          <w:szCs w:val="21"/>
        </w:rPr>
      </w:pPr>
      <w:r w:rsidRPr="00FA3259">
        <w:rPr>
          <w:rFonts w:cs="Times New Roman"/>
          <w:smallCaps/>
          <w:sz w:val="21"/>
          <w:szCs w:val="21"/>
          <w:lang w:eastAsia="fr-FR"/>
        </w:rPr>
        <w:t>Chartier</w:t>
      </w:r>
      <w:r w:rsidR="00FA3259">
        <w:rPr>
          <w:rFonts w:cs="Times New Roman"/>
          <w:sz w:val="21"/>
          <w:szCs w:val="21"/>
          <w:lang w:eastAsia="fr-FR"/>
        </w:rPr>
        <w:t xml:space="preserve">, </w:t>
      </w:r>
      <w:r w:rsidRPr="00FA3259">
        <w:rPr>
          <w:rFonts w:cs="Times New Roman"/>
          <w:sz w:val="21"/>
          <w:szCs w:val="21"/>
          <w:lang w:eastAsia="fr-FR"/>
        </w:rPr>
        <w:t xml:space="preserve">Roger, </w:t>
      </w:r>
      <w:r w:rsidRPr="00FA3259">
        <w:rPr>
          <w:rFonts w:cs="Times New Roman"/>
          <w:i/>
          <w:sz w:val="21"/>
          <w:szCs w:val="21"/>
          <w:lang w:eastAsia="fr-FR"/>
        </w:rPr>
        <w:t>Lecture et lecteurs dans la France d’Ancien Régime</w:t>
      </w:r>
      <w:r w:rsidRPr="00FA3259">
        <w:rPr>
          <w:rFonts w:cs="Times New Roman"/>
          <w:sz w:val="21"/>
          <w:szCs w:val="21"/>
          <w:lang w:eastAsia="fr-FR"/>
        </w:rPr>
        <w:t>, Paris, Seuil, 1987</w:t>
      </w:r>
      <w:r w:rsidR="00FA3259">
        <w:rPr>
          <w:rFonts w:cs="Times New Roman"/>
          <w:sz w:val="21"/>
          <w:szCs w:val="21"/>
          <w:lang w:eastAsia="fr-FR"/>
        </w:rPr>
        <w:t xml:space="preserve">. </w:t>
      </w:r>
    </w:p>
    <w:p w14:paraId="7D201FF8" w14:textId="77777777" w:rsidR="008B1B81" w:rsidRPr="00FA3259" w:rsidRDefault="008B1B81" w:rsidP="008B1B81">
      <w:pPr>
        <w:pStyle w:val="Biblio"/>
        <w:rPr>
          <w:sz w:val="21"/>
          <w:szCs w:val="21"/>
        </w:rPr>
      </w:pPr>
      <w:proofErr w:type="spellStart"/>
      <w:r w:rsidRPr="00FA3259">
        <w:rPr>
          <w:rFonts w:cs="Times New Roman"/>
          <w:smallCaps/>
          <w:sz w:val="21"/>
          <w:szCs w:val="21"/>
          <w:lang w:eastAsia="fr-FR"/>
        </w:rPr>
        <w:t>Cottret</w:t>
      </w:r>
      <w:proofErr w:type="spellEnd"/>
      <w:r w:rsidR="00FA3259">
        <w:rPr>
          <w:rFonts w:cs="Times New Roman"/>
          <w:sz w:val="21"/>
          <w:szCs w:val="21"/>
          <w:lang w:eastAsia="fr-FR"/>
        </w:rPr>
        <w:t xml:space="preserve">, </w:t>
      </w:r>
      <w:r w:rsidRPr="00FA3259">
        <w:rPr>
          <w:rFonts w:cs="Times New Roman"/>
          <w:sz w:val="21"/>
          <w:szCs w:val="21"/>
          <w:lang w:eastAsia="fr-FR"/>
        </w:rPr>
        <w:t xml:space="preserve">Monique, </w:t>
      </w:r>
      <w:r w:rsidRPr="00FA3259">
        <w:rPr>
          <w:rFonts w:cs="Times New Roman"/>
          <w:i/>
          <w:sz w:val="21"/>
          <w:szCs w:val="21"/>
          <w:lang w:eastAsia="fr-FR"/>
        </w:rPr>
        <w:t>Histoire du jansénisme</w:t>
      </w:r>
      <w:r w:rsidRPr="00FA3259">
        <w:rPr>
          <w:rFonts w:cs="Times New Roman"/>
          <w:sz w:val="21"/>
          <w:szCs w:val="21"/>
          <w:lang w:eastAsia="fr-FR"/>
        </w:rPr>
        <w:t>, Paris, Perrin, 2016</w:t>
      </w:r>
      <w:r w:rsidR="00FA3259">
        <w:rPr>
          <w:rFonts w:cs="Times New Roman"/>
          <w:sz w:val="21"/>
          <w:szCs w:val="21"/>
          <w:lang w:eastAsia="fr-FR"/>
        </w:rPr>
        <w:t xml:space="preserve">. </w:t>
      </w:r>
    </w:p>
    <w:p w14:paraId="54777A68" w14:textId="77777777" w:rsidR="008B1B81" w:rsidRPr="00FA3259" w:rsidRDefault="008B1B81" w:rsidP="008B1B81">
      <w:pPr>
        <w:pStyle w:val="Biblio"/>
        <w:rPr>
          <w:sz w:val="21"/>
          <w:szCs w:val="21"/>
        </w:rPr>
      </w:pPr>
      <w:r w:rsidRPr="00FA3259">
        <w:rPr>
          <w:rFonts w:cs="Times New Roman"/>
          <w:smallCaps/>
          <w:sz w:val="21"/>
          <w:szCs w:val="21"/>
          <w:lang w:eastAsia="fr-FR"/>
        </w:rPr>
        <w:t>Farge</w:t>
      </w:r>
      <w:r w:rsidR="00FA3259">
        <w:rPr>
          <w:rFonts w:cs="Times New Roman"/>
          <w:sz w:val="21"/>
          <w:szCs w:val="21"/>
          <w:lang w:eastAsia="fr-FR"/>
        </w:rPr>
        <w:t xml:space="preserve">, </w:t>
      </w:r>
      <w:r w:rsidRPr="00FA3259">
        <w:rPr>
          <w:rFonts w:cs="Times New Roman"/>
          <w:sz w:val="21"/>
          <w:szCs w:val="21"/>
          <w:lang w:eastAsia="fr-FR"/>
        </w:rPr>
        <w:t xml:space="preserve">Arlette, </w:t>
      </w:r>
      <w:r w:rsidRPr="00FA3259">
        <w:rPr>
          <w:rFonts w:cs="Times New Roman"/>
          <w:i/>
          <w:sz w:val="21"/>
          <w:szCs w:val="21"/>
          <w:lang w:eastAsia="fr-FR"/>
        </w:rPr>
        <w:t>Dire et mal dire. L’opinion publique au XVIII</w:t>
      </w:r>
      <w:r w:rsidRPr="00FA3259">
        <w:rPr>
          <w:rStyle w:val="a-size-large"/>
          <w:i/>
          <w:color w:val="111111"/>
          <w:sz w:val="21"/>
          <w:szCs w:val="21"/>
          <w:vertAlign w:val="superscript"/>
          <w:lang w:eastAsia="fr-FR"/>
        </w:rPr>
        <w:t>e</w:t>
      </w:r>
      <w:r w:rsidRPr="00FA3259">
        <w:rPr>
          <w:rFonts w:cs="Times New Roman"/>
          <w:i/>
          <w:sz w:val="21"/>
          <w:szCs w:val="21"/>
          <w:lang w:eastAsia="fr-FR"/>
        </w:rPr>
        <w:t xml:space="preserve"> siècle</w:t>
      </w:r>
      <w:r w:rsidRPr="00FA3259">
        <w:rPr>
          <w:rFonts w:cs="Times New Roman"/>
          <w:sz w:val="21"/>
          <w:szCs w:val="21"/>
          <w:lang w:eastAsia="fr-FR"/>
        </w:rPr>
        <w:t>, Paris, Seuil, 1992</w:t>
      </w:r>
      <w:r w:rsidR="00FA3259">
        <w:rPr>
          <w:rFonts w:cs="Times New Roman"/>
          <w:sz w:val="21"/>
          <w:szCs w:val="21"/>
          <w:lang w:eastAsia="fr-FR"/>
        </w:rPr>
        <w:t xml:space="preserve">. </w:t>
      </w:r>
    </w:p>
    <w:p w14:paraId="069FD7CE" w14:textId="77777777" w:rsidR="008B1B81" w:rsidRPr="00FA3259" w:rsidRDefault="008B1B81" w:rsidP="008B1B81">
      <w:pPr>
        <w:pStyle w:val="Biblio"/>
        <w:rPr>
          <w:sz w:val="21"/>
          <w:szCs w:val="21"/>
        </w:rPr>
      </w:pPr>
      <w:r w:rsidRPr="00FA3259">
        <w:rPr>
          <w:rFonts w:cs="Times New Roman"/>
          <w:smallCaps/>
          <w:sz w:val="21"/>
          <w:szCs w:val="21"/>
          <w:lang w:eastAsia="fr-FR"/>
        </w:rPr>
        <w:t>Figeac</w:t>
      </w:r>
      <w:r w:rsidR="00FA3259">
        <w:rPr>
          <w:rFonts w:cs="Times New Roman"/>
          <w:sz w:val="21"/>
          <w:szCs w:val="21"/>
          <w:lang w:eastAsia="fr-FR"/>
        </w:rPr>
        <w:t xml:space="preserve">, </w:t>
      </w:r>
      <w:r w:rsidRPr="00FA3259">
        <w:rPr>
          <w:rFonts w:cs="Times New Roman"/>
          <w:sz w:val="21"/>
          <w:szCs w:val="21"/>
          <w:lang w:eastAsia="fr-FR"/>
        </w:rPr>
        <w:t>Michel</w:t>
      </w:r>
      <w:r w:rsidR="00FA3259">
        <w:rPr>
          <w:rFonts w:cs="Times New Roman"/>
          <w:sz w:val="21"/>
          <w:szCs w:val="21"/>
          <w:lang w:eastAsia="fr-FR"/>
        </w:rPr>
        <w:t xml:space="preserve"> (</w:t>
      </w:r>
      <w:r w:rsidRPr="00FA3259">
        <w:rPr>
          <w:rFonts w:cs="Times New Roman"/>
          <w:sz w:val="21"/>
          <w:szCs w:val="21"/>
          <w:lang w:eastAsia="fr-FR"/>
        </w:rPr>
        <w:t>dir.</w:t>
      </w:r>
      <w:r w:rsidR="00FA3259">
        <w:rPr>
          <w:rFonts w:cs="Times New Roman"/>
          <w:sz w:val="21"/>
          <w:szCs w:val="21"/>
          <w:lang w:eastAsia="fr-FR"/>
        </w:rPr>
        <w:t>)</w:t>
      </w:r>
      <w:r w:rsidRPr="00FA3259">
        <w:rPr>
          <w:rFonts w:cs="Times New Roman"/>
          <w:sz w:val="21"/>
          <w:szCs w:val="21"/>
          <w:lang w:eastAsia="fr-FR"/>
        </w:rPr>
        <w:t xml:space="preserve">, </w:t>
      </w:r>
      <w:r w:rsidRPr="00FA3259">
        <w:rPr>
          <w:rFonts w:cs="Times New Roman"/>
          <w:i/>
          <w:sz w:val="21"/>
          <w:szCs w:val="21"/>
          <w:lang w:eastAsia="fr-FR"/>
        </w:rPr>
        <w:t>L’ancienne France au quotidien. Vie et choses de la vie sous l’Ancien Régime</w:t>
      </w:r>
      <w:r w:rsidRPr="00FA3259">
        <w:rPr>
          <w:rFonts w:cs="Times New Roman"/>
          <w:sz w:val="21"/>
          <w:szCs w:val="21"/>
          <w:lang w:eastAsia="fr-FR"/>
        </w:rPr>
        <w:t xml:space="preserve">, Paris, </w:t>
      </w:r>
      <w:r w:rsidR="00FA3259">
        <w:rPr>
          <w:rFonts w:cs="Times New Roman"/>
          <w:sz w:val="21"/>
          <w:szCs w:val="21"/>
          <w:lang w:eastAsia="fr-FR"/>
        </w:rPr>
        <w:t>A.</w:t>
      </w:r>
      <w:r w:rsidRPr="00FA3259">
        <w:rPr>
          <w:rFonts w:cs="Times New Roman"/>
          <w:sz w:val="21"/>
          <w:szCs w:val="21"/>
          <w:lang w:eastAsia="fr-FR"/>
        </w:rPr>
        <w:t xml:space="preserve"> Colin, 2007</w:t>
      </w:r>
      <w:r w:rsidR="00FA3259">
        <w:rPr>
          <w:rFonts w:cs="Times New Roman"/>
          <w:sz w:val="21"/>
          <w:szCs w:val="21"/>
          <w:lang w:eastAsia="fr-FR"/>
        </w:rPr>
        <w:t>.</w:t>
      </w:r>
    </w:p>
    <w:p w14:paraId="3D269C27" w14:textId="77777777" w:rsidR="008B1B81" w:rsidRPr="00FA3259" w:rsidRDefault="008B1B81" w:rsidP="008B1B81">
      <w:pPr>
        <w:pStyle w:val="Biblio"/>
        <w:rPr>
          <w:sz w:val="21"/>
          <w:szCs w:val="21"/>
        </w:rPr>
      </w:pPr>
      <w:proofErr w:type="spellStart"/>
      <w:r w:rsidRPr="00FA3259">
        <w:rPr>
          <w:rFonts w:cs="Times New Roman"/>
          <w:smallCaps/>
          <w:sz w:val="21"/>
          <w:szCs w:val="21"/>
          <w:lang w:eastAsia="fr-FR"/>
        </w:rPr>
        <w:lastRenderedPageBreak/>
        <w:t>Garrioch</w:t>
      </w:r>
      <w:proofErr w:type="spellEnd"/>
      <w:r w:rsidR="00FA3259">
        <w:rPr>
          <w:rFonts w:cs="Times New Roman"/>
          <w:sz w:val="21"/>
          <w:szCs w:val="21"/>
          <w:lang w:eastAsia="fr-FR"/>
        </w:rPr>
        <w:t xml:space="preserve">, </w:t>
      </w:r>
      <w:r w:rsidRPr="00FA3259">
        <w:rPr>
          <w:rFonts w:cs="Times New Roman"/>
          <w:sz w:val="21"/>
          <w:szCs w:val="21"/>
          <w:lang w:eastAsia="fr-FR"/>
        </w:rPr>
        <w:t xml:space="preserve">David, </w:t>
      </w:r>
      <w:r w:rsidRPr="00FA3259">
        <w:rPr>
          <w:rFonts w:cs="Times New Roman"/>
          <w:i/>
          <w:sz w:val="21"/>
          <w:szCs w:val="21"/>
          <w:lang w:eastAsia="fr-FR"/>
        </w:rPr>
        <w:t>La fabrique du Paris révolutionnaire</w:t>
      </w:r>
      <w:r w:rsidRPr="00FA3259">
        <w:rPr>
          <w:rFonts w:cs="Times New Roman"/>
          <w:sz w:val="21"/>
          <w:szCs w:val="21"/>
          <w:lang w:eastAsia="fr-FR"/>
        </w:rPr>
        <w:t xml:space="preserve">, Paris, La Découverte, 2013 </w:t>
      </w:r>
      <w:r w:rsidR="00FA3259">
        <w:rPr>
          <w:rFonts w:cs="Times New Roman"/>
          <w:sz w:val="21"/>
          <w:szCs w:val="21"/>
          <w:lang w:eastAsia="fr-FR"/>
        </w:rPr>
        <w:t>(</w:t>
      </w:r>
      <w:r w:rsidRPr="00FA3259">
        <w:rPr>
          <w:rFonts w:cs="Times New Roman"/>
          <w:sz w:val="21"/>
          <w:szCs w:val="21"/>
          <w:lang w:eastAsia="fr-FR"/>
        </w:rPr>
        <w:t>1</w:t>
      </w:r>
      <w:r w:rsidRPr="00FA3259">
        <w:rPr>
          <w:sz w:val="21"/>
          <w:szCs w:val="21"/>
          <w:vertAlign w:val="superscript"/>
        </w:rPr>
        <w:t>ère</w:t>
      </w:r>
      <w:r w:rsidRPr="00FA3259">
        <w:rPr>
          <w:rFonts w:cs="Times New Roman"/>
          <w:sz w:val="21"/>
          <w:szCs w:val="21"/>
          <w:lang w:eastAsia="fr-FR"/>
        </w:rPr>
        <w:t xml:space="preserve"> éd. 2002</w:t>
      </w:r>
      <w:r w:rsidR="00FA3259">
        <w:rPr>
          <w:rFonts w:cs="Times New Roman"/>
          <w:sz w:val="21"/>
          <w:szCs w:val="21"/>
          <w:lang w:eastAsia="fr-FR"/>
        </w:rPr>
        <w:t xml:space="preserve">). </w:t>
      </w:r>
    </w:p>
    <w:p w14:paraId="0D41655A" w14:textId="77777777" w:rsidR="008B1B81" w:rsidRPr="00FA3259" w:rsidRDefault="008B1B81" w:rsidP="008B1B81">
      <w:pPr>
        <w:pStyle w:val="Biblio"/>
        <w:rPr>
          <w:sz w:val="21"/>
          <w:szCs w:val="21"/>
        </w:rPr>
      </w:pPr>
      <w:r w:rsidRPr="00FA3259">
        <w:rPr>
          <w:rFonts w:cs="Times New Roman"/>
          <w:smallCaps/>
          <w:sz w:val="21"/>
          <w:szCs w:val="21"/>
          <w:lang w:eastAsia="fr-FR"/>
        </w:rPr>
        <w:t>Gutton</w:t>
      </w:r>
      <w:r w:rsidR="00FA3259">
        <w:rPr>
          <w:rFonts w:cs="Times New Roman"/>
          <w:smallCaps/>
          <w:sz w:val="21"/>
          <w:szCs w:val="21"/>
          <w:lang w:eastAsia="fr-FR"/>
        </w:rPr>
        <w:t xml:space="preserve">, </w:t>
      </w:r>
      <w:r w:rsidRPr="00FA3259">
        <w:rPr>
          <w:rFonts w:cs="Times New Roman"/>
          <w:sz w:val="21"/>
          <w:szCs w:val="21"/>
          <w:lang w:eastAsia="fr-FR"/>
        </w:rPr>
        <w:t xml:space="preserve">Jean-Pierre, </w:t>
      </w:r>
      <w:r w:rsidRPr="00FA3259">
        <w:rPr>
          <w:rFonts w:cs="Times New Roman"/>
          <w:i/>
          <w:sz w:val="21"/>
          <w:szCs w:val="21"/>
          <w:lang w:eastAsia="fr-FR"/>
        </w:rPr>
        <w:t>Dévots et société au XVII</w:t>
      </w:r>
      <w:r w:rsidRPr="00FA3259">
        <w:rPr>
          <w:rStyle w:val="a-size-large"/>
          <w:i/>
          <w:color w:val="111111"/>
          <w:sz w:val="21"/>
          <w:szCs w:val="21"/>
          <w:vertAlign w:val="superscript"/>
          <w:lang w:eastAsia="fr-FR"/>
        </w:rPr>
        <w:t>e</w:t>
      </w:r>
      <w:r w:rsidRPr="00FA3259">
        <w:rPr>
          <w:rFonts w:cs="Times New Roman"/>
          <w:i/>
          <w:sz w:val="21"/>
          <w:szCs w:val="21"/>
          <w:lang w:eastAsia="fr-FR"/>
        </w:rPr>
        <w:t xml:space="preserve"> siècle. Construire le ciel sur terre</w:t>
      </w:r>
      <w:r w:rsidRPr="00FA3259">
        <w:rPr>
          <w:rFonts w:cs="Times New Roman"/>
          <w:sz w:val="21"/>
          <w:szCs w:val="21"/>
          <w:lang w:eastAsia="fr-FR"/>
        </w:rPr>
        <w:t>, Paris, Belin, 2004</w:t>
      </w:r>
      <w:r w:rsidR="00FA3259">
        <w:rPr>
          <w:rFonts w:cs="Times New Roman"/>
          <w:sz w:val="21"/>
          <w:szCs w:val="21"/>
          <w:lang w:eastAsia="fr-FR"/>
        </w:rPr>
        <w:t xml:space="preserve">. </w:t>
      </w:r>
    </w:p>
    <w:p w14:paraId="20D9F7BA" w14:textId="77777777" w:rsidR="008B1B81" w:rsidRPr="00FA3259" w:rsidRDefault="008B1B81" w:rsidP="008B1B81">
      <w:pPr>
        <w:pStyle w:val="Biblio"/>
        <w:rPr>
          <w:sz w:val="21"/>
          <w:szCs w:val="21"/>
        </w:rPr>
      </w:pPr>
      <w:proofErr w:type="spellStart"/>
      <w:r w:rsidRPr="00FA3259">
        <w:rPr>
          <w:rFonts w:cs="Times New Roman"/>
          <w:smallCaps/>
          <w:sz w:val="21"/>
          <w:szCs w:val="21"/>
          <w:lang w:eastAsia="fr-FR"/>
        </w:rPr>
        <w:t>Hours</w:t>
      </w:r>
      <w:proofErr w:type="spellEnd"/>
      <w:r w:rsidR="00FA3259">
        <w:rPr>
          <w:rFonts w:cs="Times New Roman"/>
          <w:smallCaps/>
          <w:sz w:val="21"/>
          <w:szCs w:val="21"/>
          <w:lang w:eastAsia="fr-FR"/>
        </w:rPr>
        <w:t xml:space="preserve">, </w:t>
      </w:r>
      <w:r w:rsidRPr="00FA3259">
        <w:rPr>
          <w:rFonts w:cs="Times New Roman"/>
          <w:sz w:val="21"/>
          <w:szCs w:val="21"/>
          <w:lang w:eastAsia="fr-FR"/>
        </w:rPr>
        <w:t xml:space="preserve">Bernard, </w:t>
      </w:r>
      <w:r w:rsidRPr="00FA3259">
        <w:rPr>
          <w:rFonts w:cs="Times New Roman"/>
          <w:i/>
          <w:sz w:val="21"/>
          <w:szCs w:val="21"/>
          <w:lang w:eastAsia="fr-FR"/>
        </w:rPr>
        <w:t>L’</w:t>
      </w:r>
      <w:r w:rsidR="00FA3259">
        <w:rPr>
          <w:rFonts w:cs="Times New Roman"/>
          <w:i/>
          <w:sz w:val="21"/>
          <w:szCs w:val="21"/>
          <w:lang w:eastAsia="fr-FR"/>
        </w:rPr>
        <w:t>É</w:t>
      </w:r>
      <w:r w:rsidRPr="00FA3259">
        <w:rPr>
          <w:rFonts w:cs="Times New Roman"/>
          <w:i/>
          <w:sz w:val="21"/>
          <w:szCs w:val="21"/>
          <w:lang w:eastAsia="fr-FR"/>
        </w:rPr>
        <w:t>glise et la vie religieuse dans la France moderne (XV</w:t>
      </w:r>
      <w:r w:rsidRPr="00FA3259">
        <w:rPr>
          <w:rStyle w:val="a-size-large"/>
          <w:i/>
          <w:color w:val="111111"/>
          <w:sz w:val="21"/>
          <w:szCs w:val="21"/>
          <w:vertAlign w:val="superscript"/>
          <w:lang w:eastAsia="fr-FR"/>
        </w:rPr>
        <w:t>e</w:t>
      </w:r>
      <w:r w:rsidRPr="00FA3259">
        <w:rPr>
          <w:rFonts w:cs="Times New Roman"/>
          <w:i/>
          <w:sz w:val="21"/>
          <w:szCs w:val="21"/>
          <w:lang w:eastAsia="fr-FR"/>
        </w:rPr>
        <w:t>-XVIII</w:t>
      </w:r>
      <w:r w:rsidRPr="00FA3259">
        <w:rPr>
          <w:rStyle w:val="a-size-large"/>
          <w:i/>
          <w:color w:val="111111"/>
          <w:sz w:val="21"/>
          <w:szCs w:val="21"/>
          <w:vertAlign w:val="superscript"/>
          <w:lang w:eastAsia="fr-FR"/>
        </w:rPr>
        <w:t>e</w:t>
      </w:r>
      <w:r w:rsidRPr="00FA3259">
        <w:rPr>
          <w:rFonts w:cs="Times New Roman"/>
          <w:i/>
          <w:sz w:val="21"/>
          <w:szCs w:val="21"/>
          <w:lang w:eastAsia="fr-FR"/>
        </w:rPr>
        <w:t xml:space="preserve"> siècle)</w:t>
      </w:r>
      <w:r w:rsidRPr="00FA3259">
        <w:rPr>
          <w:rFonts w:cs="Times New Roman"/>
          <w:sz w:val="21"/>
          <w:szCs w:val="21"/>
          <w:lang w:eastAsia="fr-FR"/>
        </w:rPr>
        <w:t>, Paris, PUF, 2000</w:t>
      </w:r>
      <w:r w:rsidR="00FA3259">
        <w:rPr>
          <w:rFonts w:cs="Times New Roman"/>
          <w:sz w:val="21"/>
          <w:szCs w:val="21"/>
          <w:lang w:eastAsia="fr-FR"/>
        </w:rPr>
        <w:t>.</w:t>
      </w:r>
    </w:p>
    <w:p w14:paraId="65015FBA" w14:textId="77777777" w:rsidR="008B1B81" w:rsidRPr="00FA3259" w:rsidRDefault="008B1B81" w:rsidP="008B1B81">
      <w:pPr>
        <w:pStyle w:val="Biblio"/>
        <w:rPr>
          <w:sz w:val="21"/>
          <w:szCs w:val="21"/>
        </w:rPr>
      </w:pPr>
      <w:r w:rsidRPr="00FA3259">
        <w:rPr>
          <w:rFonts w:cs="Times New Roman"/>
          <w:smallCaps/>
          <w:sz w:val="21"/>
          <w:szCs w:val="21"/>
          <w:lang w:eastAsia="fr-FR"/>
        </w:rPr>
        <w:t>Lebrun</w:t>
      </w:r>
      <w:r w:rsidR="00FA3259">
        <w:rPr>
          <w:rFonts w:cs="Times New Roman"/>
          <w:sz w:val="21"/>
          <w:szCs w:val="21"/>
          <w:lang w:eastAsia="fr-FR"/>
        </w:rPr>
        <w:t xml:space="preserve">, </w:t>
      </w:r>
      <w:r w:rsidRPr="00FA3259">
        <w:rPr>
          <w:rFonts w:cs="Times New Roman"/>
          <w:sz w:val="21"/>
          <w:szCs w:val="21"/>
          <w:lang w:eastAsia="fr-FR"/>
        </w:rPr>
        <w:t xml:space="preserve">François, </w:t>
      </w:r>
      <w:proofErr w:type="spellStart"/>
      <w:r w:rsidRPr="00FA3259">
        <w:rPr>
          <w:rFonts w:cs="Times New Roman"/>
          <w:smallCaps/>
          <w:sz w:val="21"/>
          <w:szCs w:val="21"/>
          <w:lang w:eastAsia="fr-FR"/>
        </w:rPr>
        <w:t>Quéniart</w:t>
      </w:r>
      <w:proofErr w:type="spellEnd"/>
      <w:r w:rsidR="00FA3259">
        <w:rPr>
          <w:rFonts w:cs="Times New Roman"/>
          <w:sz w:val="21"/>
          <w:szCs w:val="21"/>
          <w:lang w:eastAsia="fr-FR"/>
        </w:rPr>
        <w:t xml:space="preserve">, </w:t>
      </w:r>
      <w:r w:rsidRPr="00FA3259">
        <w:rPr>
          <w:rFonts w:cs="Times New Roman"/>
          <w:sz w:val="21"/>
          <w:szCs w:val="21"/>
          <w:lang w:eastAsia="fr-FR"/>
        </w:rPr>
        <w:t xml:space="preserve">Jean, </w:t>
      </w:r>
      <w:proofErr w:type="spellStart"/>
      <w:r w:rsidRPr="00FA3259">
        <w:rPr>
          <w:rFonts w:cs="Times New Roman"/>
          <w:smallCaps/>
          <w:sz w:val="21"/>
          <w:szCs w:val="21"/>
          <w:lang w:eastAsia="fr-FR"/>
        </w:rPr>
        <w:t>Venard</w:t>
      </w:r>
      <w:proofErr w:type="spellEnd"/>
      <w:r w:rsidR="00FA3259">
        <w:rPr>
          <w:rFonts w:cs="Times New Roman"/>
          <w:sz w:val="21"/>
          <w:szCs w:val="21"/>
          <w:lang w:eastAsia="fr-FR"/>
        </w:rPr>
        <w:t xml:space="preserve">, </w:t>
      </w:r>
      <w:r w:rsidRPr="00FA3259">
        <w:rPr>
          <w:rFonts w:cs="Times New Roman"/>
          <w:sz w:val="21"/>
          <w:szCs w:val="21"/>
          <w:lang w:eastAsia="fr-FR"/>
        </w:rPr>
        <w:t xml:space="preserve">Marc, </w:t>
      </w:r>
      <w:r w:rsidRPr="00FA3259">
        <w:rPr>
          <w:rFonts w:cs="Times New Roman"/>
          <w:i/>
          <w:sz w:val="21"/>
          <w:szCs w:val="21"/>
          <w:lang w:eastAsia="fr-FR"/>
        </w:rPr>
        <w:t>Histoire générale de l’enseignement et de l’éducation en France</w:t>
      </w:r>
      <w:r w:rsidRPr="00FA3259">
        <w:rPr>
          <w:rFonts w:cs="Times New Roman"/>
          <w:sz w:val="21"/>
          <w:szCs w:val="21"/>
          <w:lang w:eastAsia="fr-FR"/>
        </w:rPr>
        <w:t xml:space="preserve">, t. 2, </w:t>
      </w:r>
      <w:r w:rsidRPr="00FA3259">
        <w:rPr>
          <w:rFonts w:cs="Times New Roman"/>
          <w:i/>
          <w:sz w:val="21"/>
          <w:szCs w:val="21"/>
          <w:lang w:eastAsia="fr-FR"/>
        </w:rPr>
        <w:t>De Gutenberg aux Lumières (1480-1789)</w:t>
      </w:r>
      <w:r w:rsidRPr="00FA3259">
        <w:rPr>
          <w:rFonts w:cs="Times New Roman"/>
          <w:sz w:val="21"/>
          <w:szCs w:val="21"/>
          <w:lang w:eastAsia="fr-FR"/>
        </w:rPr>
        <w:t>, Paris, Perrin, 1981 (rééd</w:t>
      </w:r>
      <w:r w:rsidR="00FA3259">
        <w:rPr>
          <w:rFonts w:cs="Times New Roman"/>
          <w:sz w:val="21"/>
          <w:szCs w:val="21"/>
          <w:lang w:eastAsia="fr-FR"/>
        </w:rPr>
        <w:t>ition en</w:t>
      </w:r>
      <w:r w:rsidRPr="00FA3259">
        <w:rPr>
          <w:rFonts w:cs="Times New Roman"/>
          <w:sz w:val="21"/>
          <w:szCs w:val="21"/>
          <w:lang w:eastAsia="fr-FR"/>
        </w:rPr>
        <w:t xml:space="preserve"> poche, 2003)</w:t>
      </w:r>
      <w:r w:rsidR="00FA3259">
        <w:rPr>
          <w:rFonts w:cs="Times New Roman"/>
          <w:sz w:val="21"/>
          <w:szCs w:val="21"/>
          <w:lang w:eastAsia="fr-FR"/>
        </w:rPr>
        <w:t>.</w:t>
      </w:r>
    </w:p>
    <w:p w14:paraId="00C25584" w14:textId="77777777" w:rsidR="008B1B81" w:rsidRPr="00FA3259" w:rsidRDefault="008B1B81" w:rsidP="008B1B81">
      <w:pPr>
        <w:pStyle w:val="Biblio"/>
        <w:rPr>
          <w:sz w:val="21"/>
          <w:szCs w:val="21"/>
        </w:rPr>
      </w:pPr>
      <w:proofErr w:type="spellStart"/>
      <w:r w:rsidRPr="00FA3259">
        <w:rPr>
          <w:rFonts w:cs="Times New Roman"/>
          <w:smallCaps/>
          <w:sz w:val="21"/>
          <w:szCs w:val="21"/>
          <w:lang w:eastAsia="fr-FR"/>
        </w:rPr>
        <w:t>Meiss</w:t>
      </w:r>
      <w:proofErr w:type="spellEnd"/>
      <w:r w:rsidRPr="00FA3259">
        <w:rPr>
          <w:rFonts w:cs="Times New Roman"/>
          <w:smallCaps/>
          <w:sz w:val="21"/>
          <w:szCs w:val="21"/>
          <w:lang w:eastAsia="fr-FR"/>
        </w:rPr>
        <w:t>-Even</w:t>
      </w:r>
      <w:r w:rsidR="00FA3259">
        <w:rPr>
          <w:rFonts w:cs="Times New Roman"/>
          <w:sz w:val="21"/>
          <w:szCs w:val="21"/>
          <w:lang w:eastAsia="fr-FR"/>
        </w:rPr>
        <w:t xml:space="preserve">, </w:t>
      </w:r>
      <w:r w:rsidRPr="00FA3259">
        <w:rPr>
          <w:rFonts w:cs="Times New Roman"/>
          <w:sz w:val="21"/>
          <w:szCs w:val="21"/>
          <w:lang w:eastAsia="fr-FR"/>
        </w:rPr>
        <w:t xml:space="preserve">Marjorie, </w:t>
      </w:r>
      <w:r w:rsidRPr="00FA3259">
        <w:rPr>
          <w:rFonts w:cs="Times New Roman"/>
          <w:i/>
          <w:sz w:val="21"/>
          <w:szCs w:val="21"/>
          <w:lang w:eastAsia="fr-FR"/>
        </w:rPr>
        <w:t>Histoire matérielle de la France, XVI</w:t>
      </w:r>
      <w:r w:rsidRPr="00FA3259">
        <w:rPr>
          <w:rStyle w:val="a-size-large"/>
          <w:i/>
          <w:color w:val="111111"/>
          <w:sz w:val="21"/>
          <w:szCs w:val="21"/>
          <w:vertAlign w:val="superscript"/>
          <w:lang w:eastAsia="fr-FR"/>
        </w:rPr>
        <w:t>e</w:t>
      </w:r>
      <w:r w:rsidRPr="00FA3259">
        <w:rPr>
          <w:rFonts w:cs="Times New Roman"/>
          <w:i/>
          <w:sz w:val="21"/>
          <w:szCs w:val="21"/>
          <w:lang w:eastAsia="fr-FR"/>
        </w:rPr>
        <w:t>-XVIII</w:t>
      </w:r>
      <w:r w:rsidRPr="00FA3259">
        <w:rPr>
          <w:rStyle w:val="a-size-large"/>
          <w:i/>
          <w:color w:val="111111"/>
          <w:sz w:val="21"/>
          <w:szCs w:val="21"/>
          <w:vertAlign w:val="superscript"/>
          <w:lang w:eastAsia="fr-FR"/>
        </w:rPr>
        <w:t>e</w:t>
      </w:r>
      <w:r w:rsidRPr="00FA3259">
        <w:rPr>
          <w:rFonts w:cs="Times New Roman"/>
          <w:i/>
          <w:sz w:val="21"/>
          <w:szCs w:val="21"/>
          <w:lang w:eastAsia="fr-FR"/>
        </w:rPr>
        <w:t xml:space="preserve"> siècle</w:t>
      </w:r>
      <w:r w:rsidRPr="00FA3259">
        <w:rPr>
          <w:rFonts w:cs="Times New Roman"/>
          <w:sz w:val="21"/>
          <w:szCs w:val="21"/>
          <w:lang w:eastAsia="fr-FR"/>
        </w:rPr>
        <w:t>, Paris, Armand Colin, 2016</w:t>
      </w:r>
      <w:r w:rsidR="00FA3259">
        <w:rPr>
          <w:rFonts w:cs="Times New Roman"/>
          <w:sz w:val="21"/>
          <w:szCs w:val="21"/>
          <w:lang w:eastAsia="fr-FR"/>
        </w:rPr>
        <w:t>.</w:t>
      </w:r>
    </w:p>
    <w:p w14:paraId="3A574E7E" w14:textId="77777777" w:rsidR="008B1B81" w:rsidRPr="00FA3259" w:rsidRDefault="008B1B81" w:rsidP="008B1B81">
      <w:pPr>
        <w:pStyle w:val="Biblio"/>
        <w:rPr>
          <w:sz w:val="21"/>
          <w:szCs w:val="21"/>
        </w:rPr>
      </w:pPr>
      <w:r w:rsidRPr="00FA3259">
        <w:rPr>
          <w:rFonts w:cs="Times New Roman"/>
          <w:smallCaps/>
          <w:sz w:val="21"/>
          <w:szCs w:val="21"/>
          <w:lang w:eastAsia="fr-FR"/>
        </w:rPr>
        <w:t>Rioux</w:t>
      </w:r>
      <w:r w:rsidR="00FA3259">
        <w:rPr>
          <w:rFonts w:cs="Times New Roman"/>
          <w:sz w:val="21"/>
          <w:szCs w:val="21"/>
          <w:lang w:eastAsia="fr-FR"/>
        </w:rPr>
        <w:t>, J</w:t>
      </w:r>
      <w:r w:rsidRPr="00FA3259">
        <w:rPr>
          <w:rFonts w:cs="Times New Roman"/>
          <w:sz w:val="21"/>
          <w:szCs w:val="21"/>
          <w:lang w:eastAsia="fr-FR"/>
        </w:rPr>
        <w:t>ean-Pierre</w:t>
      </w:r>
      <w:r w:rsidR="00FA3259">
        <w:rPr>
          <w:rFonts w:cs="Times New Roman"/>
          <w:sz w:val="21"/>
          <w:szCs w:val="21"/>
          <w:lang w:eastAsia="fr-FR"/>
        </w:rPr>
        <w:t xml:space="preserve">, </w:t>
      </w:r>
      <w:r w:rsidRPr="00FA3259">
        <w:rPr>
          <w:rFonts w:cs="Times New Roman"/>
          <w:smallCaps/>
          <w:sz w:val="21"/>
          <w:szCs w:val="21"/>
          <w:lang w:eastAsia="fr-FR"/>
        </w:rPr>
        <w:t>Sirinelli</w:t>
      </w:r>
      <w:r w:rsidR="00FA3259">
        <w:rPr>
          <w:rFonts w:cs="Times New Roman"/>
          <w:sz w:val="21"/>
          <w:szCs w:val="21"/>
          <w:lang w:eastAsia="fr-FR"/>
        </w:rPr>
        <w:t xml:space="preserve">, </w:t>
      </w:r>
      <w:r w:rsidRPr="00FA3259">
        <w:rPr>
          <w:rFonts w:cs="Times New Roman"/>
          <w:sz w:val="21"/>
          <w:szCs w:val="21"/>
          <w:lang w:eastAsia="fr-FR"/>
        </w:rPr>
        <w:t>Jean-François</w:t>
      </w:r>
      <w:r w:rsidR="00FA3259">
        <w:rPr>
          <w:rFonts w:cs="Times New Roman"/>
          <w:sz w:val="21"/>
          <w:szCs w:val="21"/>
          <w:lang w:eastAsia="fr-FR"/>
        </w:rPr>
        <w:t xml:space="preserve"> (</w:t>
      </w:r>
      <w:r w:rsidRPr="00FA3259">
        <w:rPr>
          <w:rFonts w:cs="Times New Roman"/>
          <w:sz w:val="21"/>
          <w:szCs w:val="21"/>
          <w:lang w:eastAsia="fr-FR"/>
        </w:rPr>
        <w:t>dir.</w:t>
      </w:r>
      <w:r w:rsidR="00FA3259">
        <w:rPr>
          <w:rFonts w:cs="Times New Roman"/>
          <w:sz w:val="21"/>
          <w:szCs w:val="21"/>
          <w:lang w:eastAsia="fr-FR"/>
        </w:rPr>
        <w:t>)</w:t>
      </w:r>
      <w:r w:rsidRPr="00FA3259">
        <w:rPr>
          <w:rFonts w:cs="Times New Roman"/>
          <w:sz w:val="21"/>
          <w:szCs w:val="21"/>
          <w:lang w:eastAsia="fr-FR"/>
        </w:rPr>
        <w:t xml:space="preserve">, </w:t>
      </w:r>
      <w:r w:rsidRPr="00FA3259">
        <w:rPr>
          <w:rFonts w:cs="Times New Roman"/>
          <w:i/>
          <w:sz w:val="21"/>
          <w:szCs w:val="21"/>
          <w:lang w:eastAsia="fr-FR"/>
        </w:rPr>
        <w:t>Histoire culturelle de la France</w:t>
      </w:r>
      <w:r w:rsidRPr="00FA3259">
        <w:rPr>
          <w:rFonts w:cs="Times New Roman"/>
          <w:sz w:val="21"/>
          <w:szCs w:val="21"/>
          <w:lang w:eastAsia="fr-FR"/>
        </w:rPr>
        <w:t xml:space="preserve">, Paris, Seuil, </w:t>
      </w:r>
      <w:r w:rsidRPr="00FA3259">
        <w:rPr>
          <w:rFonts w:cs="Calibri"/>
          <w:sz w:val="21"/>
          <w:szCs w:val="21"/>
          <w:lang w:eastAsia="fr-FR"/>
        </w:rPr>
        <w:t xml:space="preserve">1998, </w:t>
      </w:r>
      <w:r w:rsidR="00FA3259">
        <w:rPr>
          <w:rFonts w:cs="Calibri"/>
          <w:sz w:val="21"/>
          <w:szCs w:val="21"/>
          <w:lang w:eastAsia="fr-FR"/>
        </w:rPr>
        <w:t xml:space="preserve">vol. 2 et 3.  </w:t>
      </w:r>
    </w:p>
    <w:p w14:paraId="426B11B0" w14:textId="77777777" w:rsidR="00FA3259" w:rsidRDefault="008B1B81" w:rsidP="008B1B81">
      <w:pPr>
        <w:pStyle w:val="Biblio"/>
        <w:rPr>
          <w:rStyle w:val="lev"/>
          <w:rFonts w:cs="Calibri"/>
          <w:b w:val="0"/>
          <w:bCs/>
          <w:sz w:val="21"/>
          <w:szCs w:val="21"/>
          <w:lang w:eastAsia="fr-FR"/>
        </w:rPr>
      </w:pPr>
      <w:r w:rsidRPr="00FA3259">
        <w:rPr>
          <w:rFonts w:cs="Calibri"/>
          <w:smallCaps/>
          <w:sz w:val="21"/>
          <w:szCs w:val="21"/>
          <w:lang w:eastAsia="fr-FR"/>
        </w:rPr>
        <w:t>Sabatier</w:t>
      </w:r>
      <w:r w:rsidR="00FA3259">
        <w:rPr>
          <w:rFonts w:cs="Calibri"/>
          <w:smallCaps/>
          <w:sz w:val="21"/>
          <w:szCs w:val="21"/>
          <w:lang w:eastAsia="fr-FR"/>
        </w:rPr>
        <w:t xml:space="preserve">, </w:t>
      </w:r>
      <w:r w:rsidRPr="00FA3259">
        <w:rPr>
          <w:rStyle w:val="lev"/>
          <w:rFonts w:cs="Calibri"/>
          <w:b w:val="0"/>
          <w:bCs/>
          <w:sz w:val="21"/>
          <w:szCs w:val="21"/>
          <w:lang w:eastAsia="fr-FR"/>
        </w:rPr>
        <w:t xml:space="preserve">Gérard, </w:t>
      </w:r>
      <w:r w:rsidRPr="00FA3259">
        <w:rPr>
          <w:rStyle w:val="lev"/>
          <w:rFonts w:cs="Calibri"/>
          <w:b w:val="0"/>
          <w:bCs/>
          <w:i/>
          <w:sz w:val="21"/>
          <w:szCs w:val="21"/>
          <w:lang w:eastAsia="fr-FR"/>
        </w:rPr>
        <w:t>Versailles ou la figure du roi</w:t>
      </w:r>
      <w:r w:rsidRPr="00FA3259">
        <w:rPr>
          <w:rStyle w:val="lev"/>
          <w:rFonts w:cs="Calibri"/>
          <w:b w:val="0"/>
          <w:bCs/>
          <w:sz w:val="21"/>
          <w:szCs w:val="21"/>
          <w:lang w:eastAsia="fr-FR"/>
        </w:rPr>
        <w:t>, Paris, Albin Michel, 199</w:t>
      </w:r>
      <w:r w:rsidR="00FA3259">
        <w:rPr>
          <w:rStyle w:val="lev"/>
          <w:rFonts w:cs="Calibri"/>
          <w:b w:val="0"/>
          <w:bCs/>
          <w:sz w:val="21"/>
          <w:szCs w:val="21"/>
          <w:lang w:eastAsia="fr-FR"/>
        </w:rPr>
        <w:t>9.</w:t>
      </w:r>
    </w:p>
    <w:p w14:paraId="2092710B" w14:textId="77777777" w:rsidR="008B1B81" w:rsidRPr="00FA3259" w:rsidRDefault="00FA3259" w:rsidP="008B1B81">
      <w:pPr>
        <w:pStyle w:val="Biblio"/>
        <w:rPr>
          <w:sz w:val="21"/>
          <w:szCs w:val="21"/>
        </w:rPr>
      </w:pPr>
      <w:r>
        <w:rPr>
          <w:rStyle w:val="lev"/>
          <w:rFonts w:cs="Calibri"/>
          <w:b w:val="0"/>
          <w:bCs/>
          <w:i/>
          <w:sz w:val="21"/>
          <w:szCs w:val="21"/>
          <w:lang w:eastAsia="fr-FR"/>
        </w:rPr>
        <w:t xml:space="preserve">--, </w:t>
      </w:r>
      <w:r w:rsidR="008B1B81" w:rsidRPr="00FA3259">
        <w:rPr>
          <w:rStyle w:val="lev"/>
          <w:rFonts w:cs="Calibri"/>
          <w:b w:val="0"/>
          <w:bCs/>
          <w:i/>
          <w:sz w:val="21"/>
          <w:szCs w:val="21"/>
          <w:lang w:eastAsia="fr-FR"/>
        </w:rPr>
        <w:t>Le prince et les arts : Stratégies figuratives de la monarchie française</w:t>
      </w:r>
      <w:r>
        <w:rPr>
          <w:rStyle w:val="lev"/>
          <w:rFonts w:cs="Calibri"/>
          <w:b w:val="0"/>
          <w:bCs/>
          <w:i/>
          <w:sz w:val="21"/>
          <w:szCs w:val="21"/>
          <w:lang w:eastAsia="fr-FR"/>
        </w:rPr>
        <w:t xml:space="preserve">, </w:t>
      </w:r>
      <w:r w:rsidR="008B1B81" w:rsidRPr="00FA3259">
        <w:rPr>
          <w:rStyle w:val="lev"/>
          <w:rFonts w:cs="Calibri"/>
          <w:b w:val="0"/>
          <w:bCs/>
          <w:sz w:val="21"/>
          <w:szCs w:val="21"/>
          <w:lang w:eastAsia="fr-FR"/>
        </w:rPr>
        <w:t>Seyssel,</w:t>
      </w:r>
      <w:r w:rsidR="008B1B81" w:rsidRPr="00FA3259">
        <w:rPr>
          <w:rStyle w:val="lev"/>
          <w:rFonts w:cs="Calibri (Hebrew)"/>
          <w:b w:val="0"/>
          <w:bCs/>
          <w:sz w:val="21"/>
          <w:szCs w:val="21"/>
          <w:lang w:eastAsia="fr-FR"/>
        </w:rPr>
        <w:t xml:space="preserve"> Champ Vallon,</w:t>
      </w:r>
      <w:r w:rsidR="008B1B81" w:rsidRPr="00FA3259">
        <w:rPr>
          <w:rStyle w:val="lev"/>
          <w:rFonts w:cs="Calibri (Hebrew)"/>
          <w:b w:val="0"/>
          <w:bCs/>
          <w:sz w:val="21"/>
          <w:szCs w:val="21"/>
          <w:cs/>
          <w:lang w:eastAsia="fr-FR"/>
        </w:rPr>
        <w:t>‎</w:t>
      </w:r>
      <w:r w:rsidR="008B1B81" w:rsidRPr="00FA3259">
        <w:rPr>
          <w:rStyle w:val="lev"/>
          <w:rFonts w:cs="Calibri (Hebrew)"/>
          <w:b w:val="0"/>
          <w:bCs/>
          <w:sz w:val="21"/>
          <w:szCs w:val="21"/>
          <w:lang w:eastAsia="fr-FR"/>
        </w:rPr>
        <w:t> </w:t>
      </w:r>
      <w:r w:rsidR="008B1B81" w:rsidRPr="00FA3259">
        <w:rPr>
          <w:rStyle w:val="lev"/>
          <w:rFonts w:cs="Calibri"/>
          <w:b w:val="0"/>
          <w:bCs/>
          <w:sz w:val="21"/>
          <w:szCs w:val="21"/>
          <w:lang w:eastAsia="fr-FR"/>
        </w:rPr>
        <w:t>2010</w:t>
      </w:r>
      <w:r>
        <w:rPr>
          <w:rStyle w:val="lev"/>
          <w:rFonts w:cs="Calibri"/>
          <w:b w:val="0"/>
          <w:bCs/>
          <w:sz w:val="21"/>
          <w:szCs w:val="21"/>
          <w:lang w:eastAsia="fr-FR"/>
        </w:rPr>
        <w:t>.</w:t>
      </w:r>
    </w:p>
    <w:p w14:paraId="2D078040" w14:textId="77777777" w:rsidR="008B1B81" w:rsidRPr="00FA3259" w:rsidRDefault="008B1B81" w:rsidP="008B1B81">
      <w:pPr>
        <w:pStyle w:val="Biblio"/>
        <w:rPr>
          <w:sz w:val="21"/>
          <w:szCs w:val="21"/>
        </w:rPr>
      </w:pPr>
      <w:r w:rsidRPr="00FA3259">
        <w:rPr>
          <w:rStyle w:val="lev"/>
          <w:rFonts w:cs="Calibri"/>
          <w:b w:val="0"/>
          <w:bCs/>
          <w:smallCaps/>
          <w:sz w:val="21"/>
          <w:szCs w:val="21"/>
          <w:lang w:eastAsia="fr-FR"/>
        </w:rPr>
        <w:t>Van Damme</w:t>
      </w:r>
      <w:r w:rsidR="00FA3259">
        <w:rPr>
          <w:rStyle w:val="lev"/>
          <w:rFonts w:cs="Calibri"/>
          <w:b w:val="0"/>
          <w:bCs/>
          <w:sz w:val="21"/>
          <w:szCs w:val="21"/>
          <w:lang w:eastAsia="fr-FR"/>
        </w:rPr>
        <w:t xml:space="preserve">, </w:t>
      </w:r>
      <w:r w:rsidRPr="00FA3259">
        <w:rPr>
          <w:rStyle w:val="lev"/>
          <w:rFonts w:cs="Calibri"/>
          <w:b w:val="0"/>
          <w:bCs/>
          <w:sz w:val="21"/>
          <w:szCs w:val="21"/>
          <w:lang w:eastAsia="fr-FR"/>
        </w:rPr>
        <w:t xml:space="preserve">Stéphane, </w:t>
      </w:r>
      <w:r w:rsidRPr="00FA3259">
        <w:rPr>
          <w:rStyle w:val="lev"/>
          <w:rFonts w:cs="Calibri"/>
          <w:b w:val="0"/>
          <w:bCs/>
          <w:i/>
          <w:sz w:val="21"/>
          <w:szCs w:val="21"/>
          <w:lang w:eastAsia="fr-FR"/>
        </w:rPr>
        <w:t>Paris, capitale philosophique. De la Fronde à la Révolution</w:t>
      </w:r>
      <w:r w:rsidRPr="00FA3259">
        <w:rPr>
          <w:rStyle w:val="lev"/>
          <w:rFonts w:cs="Calibri"/>
          <w:b w:val="0"/>
          <w:bCs/>
          <w:sz w:val="21"/>
          <w:szCs w:val="21"/>
          <w:lang w:eastAsia="fr-FR"/>
        </w:rPr>
        <w:t>, Paris, Odile Jacob, 2005</w:t>
      </w:r>
      <w:r w:rsidR="00FA3259">
        <w:rPr>
          <w:rStyle w:val="lev"/>
          <w:rFonts w:cs="Calibri"/>
          <w:b w:val="0"/>
          <w:bCs/>
          <w:sz w:val="21"/>
          <w:szCs w:val="21"/>
          <w:lang w:eastAsia="fr-FR"/>
        </w:rPr>
        <w:t>.</w:t>
      </w:r>
    </w:p>
    <w:p w14:paraId="13CFD525" w14:textId="77777777" w:rsidR="008B1B81" w:rsidRPr="008B1B81" w:rsidRDefault="008B1B81" w:rsidP="008B1B81">
      <w:pPr>
        <w:pStyle w:val="Biblio"/>
      </w:pPr>
    </w:p>
    <w:p w14:paraId="2730A145" w14:textId="77777777" w:rsidR="00703939" w:rsidRPr="00703939" w:rsidRDefault="00703939" w:rsidP="00703939"/>
    <w:p w14:paraId="0FA789B8" w14:textId="77777777" w:rsidR="006D16FE" w:rsidRPr="00607133" w:rsidRDefault="006D16FE" w:rsidP="006D16FE">
      <w:pPr>
        <w:rPr>
          <w:rFonts w:cs="Times New Roman"/>
        </w:rPr>
      </w:pPr>
    </w:p>
    <w:sectPr w:rsidR="006D16FE" w:rsidRPr="00607133" w:rsidSect="0085120E">
      <w:pgSz w:w="11905" w:h="16837"/>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BD934" w14:textId="77777777" w:rsidR="00087D8D" w:rsidRDefault="00087D8D" w:rsidP="00331953">
      <w:pPr>
        <w:spacing w:before="0" w:after="0" w:line="240" w:lineRule="auto"/>
      </w:pPr>
      <w:r>
        <w:separator/>
      </w:r>
    </w:p>
  </w:endnote>
  <w:endnote w:type="continuationSeparator" w:id="0">
    <w:p w14:paraId="2DC2548E" w14:textId="77777777" w:rsidR="00087D8D" w:rsidRDefault="00087D8D" w:rsidP="003319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altName w:val="Calibri"/>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imes New Roman (Corps CS)">
    <w:altName w:val="Times New Roman"/>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Hebrew)">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663C1" w14:textId="77777777" w:rsidR="00087D8D" w:rsidRDefault="00087D8D" w:rsidP="00331953">
      <w:pPr>
        <w:spacing w:before="0" w:after="0" w:line="240" w:lineRule="auto"/>
      </w:pPr>
      <w:r>
        <w:separator/>
      </w:r>
    </w:p>
  </w:footnote>
  <w:footnote w:type="continuationSeparator" w:id="0">
    <w:p w14:paraId="39116F47" w14:textId="77777777" w:rsidR="00087D8D" w:rsidRDefault="00087D8D" w:rsidP="00331953">
      <w:pPr>
        <w:spacing w:before="0" w:after="0" w:line="240" w:lineRule="auto"/>
      </w:pPr>
      <w:r>
        <w:continuationSeparator/>
      </w:r>
    </w:p>
  </w:footnote>
  <w:footnote w:id="1">
    <w:p w14:paraId="61046F7B" w14:textId="77777777" w:rsidR="00EB1BE3" w:rsidRPr="00343003" w:rsidRDefault="00EB1BE3" w:rsidP="00AD06FF">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Ici, désigne les lieux de jeux de dés et de cartes.</w:t>
      </w:r>
    </w:p>
  </w:footnote>
  <w:footnote w:id="2">
    <w:p w14:paraId="0235AB90" w14:textId="77777777" w:rsidR="00EB1BE3" w:rsidRPr="00343003" w:rsidRDefault="00EB1BE3" w:rsidP="005B5CB4">
      <w:pPr>
        <w:pStyle w:val="Notes"/>
        <w:rPr>
          <w:rFonts w:cs="Times New Roman"/>
        </w:rPr>
      </w:pPr>
      <w:r w:rsidRPr="00343003">
        <w:rPr>
          <w:rStyle w:val="Appelnotedebasdep"/>
          <w:rFonts w:cs="Times New Roman"/>
        </w:rPr>
        <w:footnoteRef/>
      </w:r>
      <w:r w:rsidRPr="00343003">
        <w:rPr>
          <w:rFonts w:cs="Times New Roman"/>
        </w:rPr>
        <w:t xml:space="preserve"> Dracon est un législateur athénien de la fin du VIe siècle av. J.-C., inventeur du premier Code pénal. </w:t>
      </w:r>
    </w:p>
  </w:footnote>
  <w:footnote w:id="3">
    <w:p w14:paraId="600359AD" w14:textId="77777777" w:rsidR="00EB1BE3" w:rsidRPr="00343003" w:rsidRDefault="00EB1BE3" w:rsidP="00AD06FF">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Mazarin a sept nièces, qu’il cherche alors à marier habilement dans les familles princières d’Europe. </w:t>
      </w:r>
    </w:p>
  </w:footnote>
  <w:footnote w:id="4">
    <w:p w14:paraId="7B941BB0" w14:textId="77777777" w:rsidR="00EB1BE3" w:rsidRPr="00343003" w:rsidRDefault="00EB1BE3" w:rsidP="005B5CB4">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Louis de Condé, prince du sang. </w:t>
      </w:r>
    </w:p>
  </w:footnote>
  <w:footnote w:id="5">
    <w:p w14:paraId="7BF7179C" w14:textId="77777777" w:rsidR="00EB1BE3" w:rsidRPr="00343003" w:rsidRDefault="00EB1BE3" w:rsidP="00AD06FF">
      <w:pPr>
        <w:pStyle w:val="Notes"/>
        <w:jc w:val="left"/>
        <w:rPr>
          <w:rFonts w:cs="Times New Roman"/>
          <w:szCs w:val="20"/>
        </w:rPr>
      </w:pPr>
      <w:r w:rsidRPr="00343003">
        <w:rPr>
          <w:rStyle w:val="Appelnotedebasdep"/>
          <w:rFonts w:cs="Times New Roman"/>
          <w:szCs w:val="20"/>
        </w:rPr>
        <w:footnoteRef/>
      </w:r>
      <w:r w:rsidRPr="00343003">
        <w:rPr>
          <w:rFonts w:cs="Times New Roman"/>
          <w:szCs w:val="20"/>
        </w:rPr>
        <w:t xml:space="preserve"> Gaspard de Coligny, duc de Châtillon, et Gaspard de Coligny, cousin du précédent et comte d’Orne. </w:t>
      </w:r>
      <w:r w:rsidRPr="00343003">
        <w:rPr>
          <w:rFonts w:cs="Times New Roman"/>
          <w:szCs w:val="20"/>
        </w:rPr>
        <w:br/>
        <w:t xml:space="preserve">Ils meurent au combat au début du siège de Paris. </w:t>
      </w:r>
    </w:p>
  </w:footnote>
  <w:footnote w:id="6">
    <w:p w14:paraId="5151B26F" w14:textId="77777777" w:rsidR="00EB1BE3" w:rsidRPr="00343003" w:rsidRDefault="00EB1BE3" w:rsidP="000D6355">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Pierre Séguier. </w:t>
      </w:r>
    </w:p>
  </w:footnote>
  <w:footnote w:id="7">
    <w:p w14:paraId="4637226B" w14:textId="77777777" w:rsidR="00EB1BE3" w:rsidRPr="00343003" w:rsidRDefault="00EB1BE3" w:rsidP="000D6355">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C’est-à-dire là où se tient le procès. </w:t>
      </w:r>
    </w:p>
  </w:footnote>
  <w:footnote w:id="8">
    <w:p w14:paraId="4C303165" w14:textId="77777777" w:rsidR="00EB1BE3" w:rsidRPr="00343003" w:rsidRDefault="00EB1BE3" w:rsidP="000D6355">
      <w:pPr>
        <w:pStyle w:val="Notes"/>
        <w:jc w:val="left"/>
        <w:rPr>
          <w:rFonts w:cs="Times New Roman"/>
          <w:szCs w:val="20"/>
        </w:rPr>
      </w:pPr>
      <w:r w:rsidRPr="00343003">
        <w:rPr>
          <w:rStyle w:val="Appelnotedebasdep"/>
          <w:rFonts w:cs="Times New Roman"/>
          <w:szCs w:val="20"/>
        </w:rPr>
        <w:footnoteRef/>
      </w:r>
      <w:r w:rsidRPr="00343003">
        <w:rPr>
          <w:rFonts w:cs="Times New Roman"/>
          <w:szCs w:val="20"/>
        </w:rPr>
        <w:t xml:space="preserve"> Charles de Batz, mousquetaire chargé depuis 1661 de sa garde à la Bastille. </w:t>
      </w:r>
    </w:p>
  </w:footnote>
  <w:footnote w:id="9">
    <w:p w14:paraId="6FE3D751" w14:textId="77777777" w:rsidR="00EB1BE3" w:rsidRPr="00343003" w:rsidRDefault="00EB1BE3" w:rsidP="000D6355">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Pierre Séguier. </w:t>
      </w:r>
    </w:p>
  </w:footnote>
  <w:footnote w:id="10">
    <w:p w14:paraId="12C82049" w14:textId="77777777" w:rsidR="00EB1BE3" w:rsidRPr="00343003" w:rsidRDefault="00EB1BE3" w:rsidP="000D6355">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Colbert. </w:t>
      </w:r>
    </w:p>
  </w:footnote>
  <w:footnote w:id="11">
    <w:p w14:paraId="228B4CB0" w14:textId="77777777" w:rsidR="00EB1BE3" w:rsidRPr="00343003" w:rsidRDefault="00EB1BE3" w:rsidP="000D6355">
      <w:pPr>
        <w:pStyle w:val="Notes"/>
        <w:rPr>
          <w:rFonts w:cs="Times New Roman"/>
          <w:szCs w:val="20"/>
        </w:rPr>
      </w:pPr>
      <w:r w:rsidRPr="00343003">
        <w:rPr>
          <w:rStyle w:val="Appelnotedebasdep"/>
          <w:rFonts w:cs="Times New Roman"/>
          <w:szCs w:val="20"/>
        </w:rPr>
        <w:footnoteRef/>
      </w:r>
      <w:r w:rsidRPr="00343003">
        <w:rPr>
          <w:rFonts w:cs="Times New Roman"/>
          <w:szCs w:val="20"/>
        </w:rPr>
        <w:t xml:space="preserve"> Olivier d’Ormesson, rapporteur général au procès. </w:t>
      </w:r>
    </w:p>
  </w:footnote>
  <w:footnote w:id="12">
    <w:p w14:paraId="5509D04E" w14:textId="77777777" w:rsidR="00EB1BE3" w:rsidRDefault="00EB1BE3" w:rsidP="00965E13">
      <w:pPr>
        <w:pStyle w:val="Notes"/>
      </w:pPr>
      <w:r>
        <w:rPr>
          <w:rStyle w:val="Appelnotedebasdep"/>
        </w:rPr>
        <w:footnoteRef/>
      </w:r>
      <w:r>
        <w:t xml:space="preserve"> </w:t>
      </w:r>
      <w:r w:rsidRPr="00607133">
        <w:t xml:space="preserve">Les étudiants ne manqueront pas de se référer également aux documents de la séance </w:t>
      </w:r>
      <w:r>
        <w:t>2.</w:t>
      </w:r>
    </w:p>
  </w:footnote>
  <w:footnote w:id="13">
    <w:p w14:paraId="74892E67" w14:textId="77777777" w:rsidR="00EB1BE3" w:rsidRDefault="00EB1BE3" w:rsidP="00C2271A">
      <w:pPr>
        <w:pStyle w:val="Notes"/>
      </w:pPr>
      <w:r>
        <w:rPr>
          <w:rStyle w:val="Appelnotedebasdep"/>
        </w:rPr>
        <w:footnoteRef/>
      </w:r>
      <w:r>
        <w:t xml:space="preserve"> Le pays des Illinois constituait l’établissement colonial situé le plus à l’intérieur des terres en </w:t>
      </w:r>
      <w:r>
        <w:t>Lousiane. Au milieu du XVIII</w:t>
      </w:r>
      <w:r w:rsidRPr="00C2271A">
        <w:rPr>
          <w:vertAlign w:val="superscript"/>
        </w:rPr>
        <w:t>e</w:t>
      </w:r>
      <w:r>
        <w:t xml:space="preserve"> siècle, il regroupait six villages éparpillés le long du Mississippi entre l’Illinois au nord et l’Ohio au sud. </w:t>
      </w:r>
    </w:p>
  </w:footnote>
  <w:footnote w:id="14">
    <w:p w14:paraId="4DC61F1A" w14:textId="77777777" w:rsidR="00EB1BE3" w:rsidRPr="00C2271A" w:rsidRDefault="00EB1BE3" w:rsidP="0032557D">
      <w:pPr>
        <w:pStyle w:val="Notes"/>
        <w:rPr>
          <w:rFonts w:cs="Times New Roman"/>
        </w:rPr>
      </w:pPr>
      <w:r w:rsidRPr="00C2271A">
        <w:rPr>
          <w:rStyle w:val="Appelnotedebasdep"/>
          <w:rFonts w:cs="Times New Roman"/>
        </w:rPr>
        <w:footnoteRef/>
      </w:r>
      <w:r w:rsidRPr="00C2271A">
        <w:rPr>
          <w:rFonts w:cs="Times New Roman"/>
        </w:rPr>
        <w:t xml:space="preserve"> Probablement un « </w:t>
      </w:r>
      <w:r w:rsidRPr="00C2271A">
        <w:rPr>
          <w:rFonts w:cs="Times New Roman"/>
        </w:rPr>
        <w:t xml:space="preserve">gumbo », une soupe devenue un plat emblématique de la cuisine créole de Louisiane. </w:t>
      </w:r>
    </w:p>
  </w:footnote>
  <w:footnote w:id="15">
    <w:p w14:paraId="44A401AF" w14:textId="77777777" w:rsidR="00EB1BE3" w:rsidRDefault="00EB1BE3" w:rsidP="00C2271A">
      <w:pPr>
        <w:pStyle w:val="Notes"/>
      </w:pPr>
      <w:r>
        <w:rPr>
          <w:rStyle w:val="Appelnotedebasdep"/>
        </w:rPr>
        <w:footnoteRef/>
      </w:r>
      <w:r>
        <w:t xml:space="preserve"> Dans ce contexte, de l’alcool. </w:t>
      </w:r>
    </w:p>
  </w:footnote>
  <w:footnote w:id="16">
    <w:p w14:paraId="62E17D39" w14:textId="77777777" w:rsidR="00EB1BE3" w:rsidRPr="00343003" w:rsidRDefault="00EB1BE3" w:rsidP="00FA0D58">
      <w:pPr>
        <w:pStyle w:val="Notes"/>
      </w:pPr>
      <w:r w:rsidRPr="00343003">
        <w:rPr>
          <w:rStyle w:val="Appelnotedebasdep"/>
        </w:rPr>
        <w:footnoteRef/>
      </w:r>
      <w:r w:rsidRPr="00343003">
        <w:t xml:space="preserve"> On emploie « Id. » ou « Idem » si l’auteur du chapitre est le même que l’auteur de l’ouvrage. </w:t>
      </w:r>
    </w:p>
  </w:footnote>
  <w:footnote w:id="17">
    <w:p w14:paraId="7F8DEE10" w14:textId="77777777" w:rsidR="00EB1BE3" w:rsidRDefault="00EB1BE3" w:rsidP="009A4C56">
      <w:pPr>
        <w:pStyle w:val="Notes"/>
      </w:pPr>
      <w:r>
        <w:rPr>
          <w:rStyle w:val="Appelnotedebasdep"/>
        </w:rPr>
        <w:footnoteRef/>
      </w:r>
      <w:r>
        <w:t xml:space="preserve"> Paul </w:t>
      </w:r>
      <w:r w:rsidRPr="00C52E0D">
        <w:rPr>
          <w:smallCaps/>
        </w:rPr>
        <w:t>Veyne</w:t>
      </w:r>
      <w:r>
        <w:t xml:space="preserve">, « Foucault révolutionne l’histoire », dans </w:t>
      </w:r>
      <w:r w:rsidRPr="00C52E0D">
        <w:rPr>
          <w:i/>
        </w:rPr>
        <w:t>Comment on écrit l'histoire</w:t>
      </w:r>
      <w:r>
        <w:t xml:space="preserve"> (</w:t>
      </w:r>
      <w:r>
        <w:t xml:space="preserve">Paris: Seuil, 1978), p. 211.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90D3" w14:textId="77777777" w:rsidR="00EB1BE3" w:rsidRDefault="00EB1BE3">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4CD2"/>
    <w:multiLevelType w:val="hybridMultilevel"/>
    <w:tmpl w:val="A560E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0A6195"/>
    <w:multiLevelType w:val="hybridMultilevel"/>
    <w:tmpl w:val="B5C6DE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1942560">
    <w:abstractNumId w:val="1"/>
  </w:num>
  <w:num w:numId="2" w16cid:durableId="193936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E0"/>
    <w:rsid w:val="000009C2"/>
    <w:rsid w:val="00000AC0"/>
    <w:rsid w:val="000021BD"/>
    <w:rsid w:val="0000263C"/>
    <w:rsid w:val="000029E6"/>
    <w:rsid w:val="00004ED6"/>
    <w:rsid w:val="0000761C"/>
    <w:rsid w:val="00007DD5"/>
    <w:rsid w:val="000122F3"/>
    <w:rsid w:val="00030EB4"/>
    <w:rsid w:val="000313B3"/>
    <w:rsid w:val="00031BCF"/>
    <w:rsid w:val="00035516"/>
    <w:rsid w:val="000441B4"/>
    <w:rsid w:val="0004431C"/>
    <w:rsid w:val="00045DEB"/>
    <w:rsid w:val="0005208E"/>
    <w:rsid w:val="00052564"/>
    <w:rsid w:val="000539B3"/>
    <w:rsid w:val="00053EBA"/>
    <w:rsid w:val="00066644"/>
    <w:rsid w:val="00071CB4"/>
    <w:rsid w:val="00072A18"/>
    <w:rsid w:val="00073FDD"/>
    <w:rsid w:val="0007453F"/>
    <w:rsid w:val="000748C1"/>
    <w:rsid w:val="00074BF0"/>
    <w:rsid w:val="00087D8D"/>
    <w:rsid w:val="00095531"/>
    <w:rsid w:val="00095F03"/>
    <w:rsid w:val="00097658"/>
    <w:rsid w:val="000A040F"/>
    <w:rsid w:val="000A0BF0"/>
    <w:rsid w:val="000A30E7"/>
    <w:rsid w:val="000A6D26"/>
    <w:rsid w:val="000B3CDE"/>
    <w:rsid w:val="000B4494"/>
    <w:rsid w:val="000B5393"/>
    <w:rsid w:val="000B6339"/>
    <w:rsid w:val="000C43EB"/>
    <w:rsid w:val="000C5ABC"/>
    <w:rsid w:val="000D6355"/>
    <w:rsid w:val="000D6437"/>
    <w:rsid w:val="000D6B00"/>
    <w:rsid w:val="000D7ACA"/>
    <w:rsid w:val="000E09CB"/>
    <w:rsid w:val="000E2818"/>
    <w:rsid w:val="000E2E58"/>
    <w:rsid w:val="000E51CF"/>
    <w:rsid w:val="000F00D1"/>
    <w:rsid w:val="000F1717"/>
    <w:rsid w:val="000F2C67"/>
    <w:rsid w:val="000F7A4D"/>
    <w:rsid w:val="001007B8"/>
    <w:rsid w:val="0010599B"/>
    <w:rsid w:val="00106D7A"/>
    <w:rsid w:val="001104FC"/>
    <w:rsid w:val="001114FB"/>
    <w:rsid w:val="00114CFD"/>
    <w:rsid w:val="00114D92"/>
    <w:rsid w:val="00117CFD"/>
    <w:rsid w:val="00124078"/>
    <w:rsid w:val="00125318"/>
    <w:rsid w:val="00130F91"/>
    <w:rsid w:val="00132DD5"/>
    <w:rsid w:val="0013659B"/>
    <w:rsid w:val="0014143C"/>
    <w:rsid w:val="00141BEE"/>
    <w:rsid w:val="00142058"/>
    <w:rsid w:val="00142440"/>
    <w:rsid w:val="00150EE4"/>
    <w:rsid w:val="00154BA6"/>
    <w:rsid w:val="0015589A"/>
    <w:rsid w:val="00160E2C"/>
    <w:rsid w:val="00160F75"/>
    <w:rsid w:val="001618AA"/>
    <w:rsid w:val="00161AED"/>
    <w:rsid w:val="001624D1"/>
    <w:rsid w:val="0016482E"/>
    <w:rsid w:val="00164C6A"/>
    <w:rsid w:val="00174276"/>
    <w:rsid w:val="00174EDB"/>
    <w:rsid w:val="00176665"/>
    <w:rsid w:val="001868B3"/>
    <w:rsid w:val="00192C3D"/>
    <w:rsid w:val="00193B09"/>
    <w:rsid w:val="001945E2"/>
    <w:rsid w:val="001A3B45"/>
    <w:rsid w:val="001A4E3C"/>
    <w:rsid w:val="001B6BC3"/>
    <w:rsid w:val="001B784A"/>
    <w:rsid w:val="001C2B3A"/>
    <w:rsid w:val="001C3A80"/>
    <w:rsid w:val="001C4259"/>
    <w:rsid w:val="001D3596"/>
    <w:rsid w:val="001D3D10"/>
    <w:rsid w:val="001D48A5"/>
    <w:rsid w:val="001E27D4"/>
    <w:rsid w:val="001E57AA"/>
    <w:rsid w:val="001E6569"/>
    <w:rsid w:val="001F390E"/>
    <w:rsid w:val="001F4921"/>
    <w:rsid w:val="002069AB"/>
    <w:rsid w:val="002247EA"/>
    <w:rsid w:val="00225408"/>
    <w:rsid w:val="00231BCF"/>
    <w:rsid w:val="00233EB4"/>
    <w:rsid w:val="002351B5"/>
    <w:rsid w:val="00236F82"/>
    <w:rsid w:val="00242246"/>
    <w:rsid w:val="002428E6"/>
    <w:rsid w:val="0024576A"/>
    <w:rsid w:val="00245BE6"/>
    <w:rsid w:val="00245D7B"/>
    <w:rsid w:val="0024656C"/>
    <w:rsid w:val="00251EDA"/>
    <w:rsid w:val="00252301"/>
    <w:rsid w:val="00254EBC"/>
    <w:rsid w:val="00256FD2"/>
    <w:rsid w:val="002607F0"/>
    <w:rsid w:val="00271591"/>
    <w:rsid w:val="00271893"/>
    <w:rsid w:val="00271C4E"/>
    <w:rsid w:val="00280850"/>
    <w:rsid w:val="00281B89"/>
    <w:rsid w:val="0028431C"/>
    <w:rsid w:val="0028551F"/>
    <w:rsid w:val="002858DB"/>
    <w:rsid w:val="00285F83"/>
    <w:rsid w:val="00286059"/>
    <w:rsid w:val="00287DEC"/>
    <w:rsid w:val="002972A5"/>
    <w:rsid w:val="002B0491"/>
    <w:rsid w:val="002B3F2D"/>
    <w:rsid w:val="002B6079"/>
    <w:rsid w:val="002C02BD"/>
    <w:rsid w:val="002C0474"/>
    <w:rsid w:val="002C7D9C"/>
    <w:rsid w:val="002D142E"/>
    <w:rsid w:val="002D702A"/>
    <w:rsid w:val="002D7DCB"/>
    <w:rsid w:val="002E1F27"/>
    <w:rsid w:val="002E3C46"/>
    <w:rsid w:val="002E76B1"/>
    <w:rsid w:val="002E7716"/>
    <w:rsid w:val="002F50BE"/>
    <w:rsid w:val="002F6FAD"/>
    <w:rsid w:val="003012D0"/>
    <w:rsid w:val="00301510"/>
    <w:rsid w:val="003032DD"/>
    <w:rsid w:val="0030410F"/>
    <w:rsid w:val="00307634"/>
    <w:rsid w:val="00311611"/>
    <w:rsid w:val="0031225E"/>
    <w:rsid w:val="00312B4F"/>
    <w:rsid w:val="00316932"/>
    <w:rsid w:val="00317125"/>
    <w:rsid w:val="0032557D"/>
    <w:rsid w:val="0032751B"/>
    <w:rsid w:val="00330041"/>
    <w:rsid w:val="00330047"/>
    <w:rsid w:val="003305D4"/>
    <w:rsid w:val="00330D7F"/>
    <w:rsid w:val="00331953"/>
    <w:rsid w:val="00335118"/>
    <w:rsid w:val="00336174"/>
    <w:rsid w:val="00337689"/>
    <w:rsid w:val="00343003"/>
    <w:rsid w:val="003515FA"/>
    <w:rsid w:val="00361ECF"/>
    <w:rsid w:val="00361FFB"/>
    <w:rsid w:val="00370B6E"/>
    <w:rsid w:val="00372643"/>
    <w:rsid w:val="0037663B"/>
    <w:rsid w:val="0038040B"/>
    <w:rsid w:val="00380FDA"/>
    <w:rsid w:val="00383DB5"/>
    <w:rsid w:val="003866AC"/>
    <w:rsid w:val="00391407"/>
    <w:rsid w:val="0039575E"/>
    <w:rsid w:val="00397664"/>
    <w:rsid w:val="003A1412"/>
    <w:rsid w:val="003A46F5"/>
    <w:rsid w:val="003B445D"/>
    <w:rsid w:val="003C0016"/>
    <w:rsid w:val="003C29E3"/>
    <w:rsid w:val="003C40EE"/>
    <w:rsid w:val="003C6107"/>
    <w:rsid w:val="003C7F98"/>
    <w:rsid w:val="003D0000"/>
    <w:rsid w:val="003D3D43"/>
    <w:rsid w:val="003D7895"/>
    <w:rsid w:val="003E1EB6"/>
    <w:rsid w:val="003F2FE7"/>
    <w:rsid w:val="003F4314"/>
    <w:rsid w:val="003F44C1"/>
    <w:rsid w:val="004008A2"/>
    <w:rsid w:val="004020AB"/>
    <w:rsid w:val="004049B3"/>
    <w:rsid w:val="00407145"/>
    <w:rsid w:val="00413CB6"/>
    <w:rsid w:val="00414619"/>
    <w:rsid w:val="00417D30"/>
    <w:rsid w:val="00422BA3"/>
    <w:rsid w:val="00426DAB"/>
    <w:rsid w:val="00430C6F"/>
    <w:rsid w:val="00433036"/>
    <w:rsid w:val="004349F8"/>
    <w:rsid w:val="00444111"/>
    <w:rsid w:val="0044548C"/>
    <w:rsid w:val="004478BD"/>
    <w:rsid w:val="00450950"/>
    <w:rsid w:val="00451FD6"/>
    <w:rsid w:val="0045400E"/>
    <w:rsid w:val="004540B5"/>
    <w:rsid w:val="0045490F"/>
    <w:rsid w:val="00456621"/>
    <w:rsid w:val="00462C27"/>
    <w:rsid w:val="00465203"/>
    <w:rsid w:val="00466C87"/>
    <w:rsid w:val="00475636"/>
    <w:rsid w:val="00477456"/>
    <w:rsid w:val="004825B6"/>
    <w:rsid w:val="00482722"/>
    <w:rsid w:val="004843E1"/>
    <w:rsid w:val="0048598B"/>
    <w:rsid w:val="00485EC3"/>
    <w:rsid w:val="0048739B"/>
    <w:rsid w:val="0049090F"/>
    <w:rsid w:val="00491195"/>
    <w:rsid w:val="00492D87"/>
    <w:rsid w:val="00493A51"/>
    <w:rsid w:val="00495D5D"/>
    <w:rsid w:val="004A359D"/>
    <w:rsid w:val="004B46BE"/>
    <w:rsid w:val="004B5257"/>
    <w:rsid w:val="004C4149"/>
    <w:rsid w:val="004C5790"/>
    <w:rsid w:val="004D2906"/>
    <w:rsid w:val="004D6479"/>
    <w:rsid w:val="004E278A"/>
    <w:rsid w:val="004E688C"/>
    <w:rsid w:val="004F1EE4"/>
    <w:rsid w:val="004F4B66"/>
    <w:rsid w:val="004F775D"/>
    <w:rsid w:val="004F77D9"/>
    <w:rsid w:val="00503513"/>
    <w:rsid w:val="00513F46"/>
    <w:rsid w:val="00514AF2"/>
    <w:rsid w:val="00515B02"/>
    <w:rsid w:val="00520B12"/>
    <w:rsid w:val="00525EA9"/>
    <w:rsid w:val="005260D5"/>
    <w:rsid w:val="00530413"/>
    <w:rsid w:val="0053189D"/>
    <w:rsid w:val="0053223E"/>
    <w:rsid w:val="00537FA6"/>
    <w:rsid w:val="00551FBD"/>
    <w:rsid w:val="00553C52"/>
    <w:rsid w:val="005540AD"/>
    <w:rsid w:val="00554834"/>
    <w:rsid w:val="00554E09"/>
    <w:rsid w:val="005557E5"/>
    <w:rsid w:val="00565AC3"/>
    <w:rsid w:val="005668F1"/>
    <w:rsid w:val="005672E2"/>
    <w:rsid w:val="005705BA"/>
    <w:rsid w:val="005757FE"/>
    <w:rsid w:val="005901A6"/>
    <w:rsid w:val="00592905"/>
    <w:rsid w:val="005A206D"/>
    <w:rsid w:val="005A389C"/>
    <w:rsid w:val="005A5839"/>
    <w:rsid w:val="005B08D8"/>
    <w:rsid w:val="005B135C"/>
    <w:rsid w:val="005B31E5"/>
    <w:rsid w:val="005B524D"/>
    <w:rsid w:val="005B53B6"/>
    <w:rsid w:val="005B5CB4"/>
    <w:rsid w:val="005B607E"/>
    <w:rsid w:val="005B7627"/>
    <w:rsid w:val="005C325E"/>
    <w:rsid w:val="005E5205"/>
    <w:rsid w:val="005F1720"/>
    <w:rsid w:val="005F33DB"/>
    <w:rsid w:val="005F34B0"/>
    <w:rsid w:val="005F5759"/>
    <w:rsid w:val="005F5CDC"/>
    <w:rsid w:val="006005EE"/>
    <w:rsid w:val="00601FB9"/>
    <w:rsid w:val="00602A26"/>
    <w:rsid w:val="006041A7"/>
    <w:rsid w:val="00607133"/>
    <w:rsid w:val="00620BBD"/>
    <w:rsid w:val="00621F47"/>
    <w:rsid w:val="0062344C"/>
    <w:rsid w:val="00625DB3"/>
    <w:rsid w:val="006273F5"/>
    <w:rsid w:val="00627EC1"/>
    <w:rsid w:val="006370D1"/>
    <w:rsid w:val="00640B3E"/>
    <w:rsid w:val="00641FD3"/>
    <w:rsid w:val="00644F5B"/>
    <w:rsid w:val="00647DC4"/>
    <w:rsid w:val="0065153B"/>
    <w:rsid w:val="0065193F"/>
    <w:rsid w:val="00654319"/>
    <w:rsid w:val="00654F82"/>
    <w:rsid w:val="006628C3"/>
    <w:rsid w:val="00663BEE"/>
    <w:rsid w:val="00663C8E"/>
    <w:rsid w:val="0066525B"/>
    <w:rsid w:val="00667EDA"/>
    <w:rsid w:val="0067086B"/>
    <w:rsid w:val="006726DE"/>
    <w:rsid w:val="00673FC0"/>
    <w:rsid w:val="0067441C"/>
    <w:rsid w:val="0068097B"/>
    <w:rsid w:val="00681416"/>
    <w:rsid w:val="006827A7"/>
    <w:rsid w:val="00687ED3"/>
    <w:rsid w:val="006902C3"/>
    <w:rsid w:val="006A2F4A"/>
    <w:rsid w:val="006A41FF"/>
    <w:rsid w:val="006B04B9"/>
    <w:rsid w:val="006B426C"/>
    <w:rsid w:val="006B575A"/>
    <w:rsid w:val="006B6B82"/>
    <w:rsid w:val="006C369F"/>
    <w:rsid w:val="006C63CC"/>
    <w:rsid w:val="006D048C"/>
    <w:rsid w:val="006D0789"/>
    <w:rsid w:val="006D1024"/>
    <w:rsid w:val="006D16FE"/>
    <w:rsid w:val="006D1AB9"/>
    <w:rsid w:val="006D2B7E"/>
    <w:rsid w:val="006D43ED"/>
    <w:rsid w:val="006D5290"/>
    <w:rsid w:val="006E05D3"/>
    <w:rsid w:val="006E219A"/>
    <w:rsid w:val="006E2467"/>
    <w:rsid w:val="006F286A"/>
    <w:rsid w:val="006F452A"/>
    <w:rsid w:val="00702CAB"/>
    <w:rsid w:val="00703939"/>
    <w:rsid w:val="00715307"/>
    <w:rsid w:val="00715698"/>
    <w:rsid w:val="0072417B"/>
    <w:rsid w:val="00726AAD"/>
    <w:rsid w:val="00731477"/>
    <w:rsid w:val="0073552E"/>
    <w:rsid w:val="00736DD1"/>
    <w:rsid w:val="00737388"/>
    <w:rsid w:val="00742710"/>
    <w:rsid w:val="00743149"/>
    <w:rsid w:val="007431BE"/>
    <w:rsid w:val="00743EA1"/>
    <w:rsid w:val="0074408E"/>
    <w:rsid w:val="00746BC0"/>
    <w:rsid w:val="00751542"/>
    <w:rsid w:val="007527ED"/>
    <w:rsid w:val="00752F86"/>
    <w:rsid w:val="00753BA4"/>
    <w:rsid w:val="00753EBC"/>
    <w:rsid w:val="00754D2C"/>
    <w:rsid w:val="00757C96"/>
    <w:rsid w:val="0076177A"/>
    <w:rsid w:val="00762BC4"/>
    <w:rsid w:val="007633CF"/>
    <w:rsid w:val="00763CC4"/>
    <w:rsid w:val="007640C1"/>
    <w:rsid w:val="00767046"/>
    <w:rsid w:val="0077000D"/>
    <w:rsid w:val="0077041D"/>
    <w:rsid w:val="00776646"/>
    <w:rsid w:val="00786EE6"/>
    <w:rsid w:val="007911B2"/>
    <w:rsid w:val="00793EFA"/>
    <w:rsid w:val="0079587E"/>
    <w:rsid w:val="007A0EBB"/>
    <w:rsid w:val="007A2A92"/>
    <w:rsid w:val="007A7915"/>
    <w:rsid w:val="007B069E"/>
    <w:rsid w:val="007B106D"/>
    <w:rsid w:val="007B2C73"/>
    <w:rsid w:val="007B2EC0"/>
    <w:rsid w:val="007C1961"/>
    <w:rsid w:val="007C4D71"/>
    <w:rsid w:val="007D207B"/>
    <w:rsid w:val="007D5606"/>
    <w:rsid w:val="007D74A0"/>
    <w:rsid w:val="007E0B2F"/>
    <w:rsid w:val="007E1FF0"/>
    <w:rsid w:val="007E3BA8"/>
    <w:rsid w:val="007E5306"/>
    <w:rsid w:val="007E6B2C"/>
    <w:rsid w:val="007F0345"/>
    <w:rsid w:val="007F0821"/>
    <w:rsid w:val="007F2EAD"/>
    <w:rsid w:val="007F5CD4"/>
    <w:rsid w:val="00802D7C"/>
    <w:rsid w:val="00803A7F"/>
    <w:rsid w:val="00804EBE"/>
    <w:rsid w:val="00811E85"/>
    <w:rsid w:val="00814780"/>
    <w:rsid w:val="008233F4"/>
    <w:rsid w:val="008248D2"/>
    <w:rsid w:val="00827879"/>
    <w:rsid w:val="0083020F"/>
    <w:rsid w:val="008320F0"/>
    <w:rsid w:val="00834435"/>
    <w:rsid w:val="00834E38"/>
    <w:rsid w:val="00836A5C"/>
    <w:rsid w:val="00836BBC"/>
    <w:rsid w:val="00840991"/>
    <w:rsid w:val="008440C3"/>
    <w:rsid w:val="00844B58"/>
    <w:rsid w:val="0085120E"/>
    <w:rsid w:val="00856528"/>
    <w:rsid w:val="008623FD"/>
    <w:rsid w:val="00865712"/>
    <w:rsid w:val="00870CB2"/>
    <w:rsid w:val="00876279"/>
    <w:rsid w:val="00877F1B"/>
    <w:rsid w:val="0088375D"/>
    <w:rsid w:val="008866C6"/>
    <w:rsid w:val="00886852"/>
    <w:rsid w:val="00893A88"/>
    <w:rsid w:val="00896D1F"/>
    <w:rsid w:val="008A4492"/>
    <w:rsid w:val="008A77EC"/>
    <w:rsid w:val="008B1B81"/>
    <w:rsid w:val="008B638C"/>
    <w:rsid w:val="008C1822"/>
    <w:rsid w:val="008C268A"/>
    <w:rsid w:val="008C46A1"/>
    <w:rsid w:val="008C5F57"/>
    <w:rsid w:val="008D577A"/>
    <w:rsid w:val="008D62B2"/>
    <w:rsid w:val="008D71A2"/>
    <w:rsid w:val="008D76FE"/>
    <w:rsid w:val="008D7FD7"/>
    <w:rsid w:val="008E0830"/>
    <w:rsid w:val="008E10BE"/>
    <w:rsid w:val="008E1123"/>
    <w:rsid w:val="008F327B"/>
    <w:rsid w:val="008F425F"/>
    <w:rsid w:val="008F48E2"/>
    <w:rsid w:val="00900C69"/>
    <w:rsid w:val="009025DC"/>
    <w:rsid w:val="009060E7"/>
    <w:rsid w:val="009114D0"/>
    <w:rsid w:val="00915224"/>
    <w:rsid w:val="00916A14"/>
    <w:rsid w:val="0091756F"/>
    <w:rsid w:val="00920234"/>
    <w:rsid w:val="00930890"/>
    <w:rsid w:val="0093571F"/>
    <w:rsid w:val="00936D77"/>
    <w:rsid w:val="009375C3"/>
    <w:rsid w:val="00937AEC"/>
    <w:rsid w:val="00942858"/>
    <w:rsid w:val="00943F01"/>
    <w:rsid w:val="00946487"/>
    <w:rsid w:val="00954504"/>
    <w:rsid w:val="009552BA"/>
    <w:rsid w:val="00960E5C"/>
    <w:rsid w:val="00965E13"/>
    <w:rsid w:val="00966E4C"/>
    <w:rsid w:val="009679DF"/>
    <w:rsid w:val="009701BD"/>
    <w:rsid w:val="00970870"/>
    <w:rsid w:val="009710F7"/>
    <w:rsid w:val="00974EAB"/>
    <w:rsid w:val="0097593A"/>
    <w:rsid w:val="00976D13"/>
    <w:rsid w:val="00980BB9"/>
    <w:rsid w:val="00983480"/>
    <w:rsid w:val="00986CE8"/>
    <w:rsid w:val="00990B12"/>
    <w:rsid w:val="00992F1C"/>
    <w:rsid w:val="009A0CFE"/>
    <w:rsid w:val="009A29C1"/>
    <w:rsid w:val="009A2A76"/>
    <w:rsid w:val="009A4C56"/>
    <w:rsid w:val="009A6A18"/>
    <w:rsid w:val="009A6A24"/>
    <w:rsid w:val="009A7D72"/>
    <w:rsid w:val="009B28D1"/>
    <w:rsid w:val="009B2A9A"/>
    <w:rsid w:val="009B331F"/>
    <w:rsid w:val="009B5524"/>
    <w:rsid w:val="009B785C"/>
    <w:rsid w:val="009B7BFD"/>
    <w:rsid w:val="009C231E"/>
    <w:rsid w:val="009C5662"/>
    <w:rsid w:val="009C56B3"/>
    <w:rsid w:val="009D04BD"/>
    <w:rsid w:val="009D3266"/>
    <w:rsid w:val="009D3DC5"/>
    <w:rsid w:val="009D5472"/>
    <w:rsid w:val="009E11B4"/>
    <w:rsid w:val="009F00CD"/>
    <w:rsid w:val="009F28F6"/>
    <w:rsid w:val="00A04A0B"/>
    <w:rsid w:val="00A04B6D"/>
    <w:rsid w:val="00A04FC2"/>
    <w:rsid w:val="00A05697"/>
    <w:rsid w:val="00A05A26"/>
    <w:rsid w:val="00A15635"/>
    <w:rsid w:val="00A161F9"/>
    <w:rsid w:val="00A21A06"/>
    <w:rsid w:val="00A21B55"/>
    <w:rsid w:val="00A2396F"/>
    <w:rsid w:val="00A2746B"/>
    <w:rsid w:val="00A3022B"/>
    <w:rsid w:val="00A340F0"/>
    <w:rsid w:val="00A345A8"/>
    <w:rsid w:val="00A348D9"/>
    <w:rsid w:val="00A34FE5"/>
    <w:rsid w:val="00A401D7"/>
    <w:rsid w:val="00A40660"/>
    <w:rsid w:val="00A41A6C"/>
    <w:rsid w:val="00A4421C"/>
    <w:rsid w:val="00A44880"/>
    <w:rsid w:val="00A45481"/>
    <w:rsid w:val="00A45492"/>
    <w:rsid w:val="00A459EC"/>
    <w:rsid w:val="00A525B3"/>
    <w:rsid w:val="00A52CED"/>
    <w:rsid w:val="00A54895"/>
    <w:rsid w:val="00A54EC6"/>
    <w:rsid w:val="00A55DA7"/>
    <w:rsid w:val="00A57DA5"/>
    <w:rsid w:val="00A6508D"/>
    <w:rsid w:val="00A70B7D"/>
    <w:rsid w:val="00A711B2"/>
    <w:rsid w:val="00A729E4"/>
    <w:rsid w:val="00A75F24"/>
    <w:rsid w:val="00A76A7D"/>
    <w:rsid w:val="00A801F9"/>
    <w:rsid w:val="00A81451"/>
    <w:rsid w:val="00A8674D"/>
    <w:rsid w:val="00A9089F"/>
    <w:rsid w:val="00A91BD2"/>
    <w:rsid w:val="00A96340"/>
    <w:rsid w:val="00A96F03"/>
    <w:rsid w:val="00AA2A12"/>
    <w:rsid w:val="00AB36FB"/>
    <w:rsid w:val="00AB3A99"/>
    <w:rsid w:val="00AB69A5"/>
    <w:rsid w:val="00AC098C"/>
    <w:rsid w:val="00AC17C5"/>
    <w:rsid w:val="00AC3457"/>
    <w:rsid w:val="00AC3637"/>
    <w:rsid w:val="00AC48AD"/>
    <w:rsid w:val="00AD06FF"/>
    <w:rsid w:val="00AD3915"/>
    <w:rsid w:val="00AD3B5E"/>
    <w:rsid w:val="00AD51A9"/>
    <w:rsid w:val="00AD7591"/>
    <w:rsid w:val="00AE39A9"/>
    <w:rsid w:val="00AE561A"/>
    <w:rsid w:val="00AE7455"/>
    <w:rsid w:val="00AE7F88"/>
    <w:rsid w:val="00AF06E4"/>
    <w:rsid w:val="00AF13E7"/>
    <w:rsid w:val="00AF1FBB"/>
    <w:rsid w:val="00AF5655"/>
    <w:rsid w:val="00AF62A6"/>
    <w:rsid w:val="00AF7B14"/>
    <w:rsid w:val="00B009C5"/>
    <w:rsid w:val="00B04B8A"/>
    <w:rsid w:val="00B0793D"/>
    <w:rsid w:val="00B149EA"/>
    <w:rsid w:val="00B15CE9"/>
    <w:rsid w:val="00B16520"/>
    <w:rsid w:val="00B20B10"/>
    <w:rsid w:val="00B214CE"/>
    <w:rsid w:val="00B23867"/>
    <w:rsid w:val="00B24CEC"/>
    <w:rsid w:val="00B26EBC"/>
    <w:rsid w:val="00B27B0C"/>
    <w:rsid w:val="00B304F9"/>
    <w:rsid w:val="00B3472D"/>
    <w:rsid w:val="00B36476"/>
    <w:rsid w:val="00B3740A"/>
    <w:rsid w:val="00B420DE"/>
    <w:rsid w:val="00B42B91"/>
    <w:rsid w:val="00B5140D"/>
    <w:rsid w:val="00B51DD9"/>
    <w:rsid w:val="00B54EAE"/>
    <w:rsid w:val="00B57303"/>
    <w:rsid w:val="00B678E8"/>
    <w:rsid w:val="00B72AA1"/>
    <w:rsid w:val="00B76724"/>
    <w:rsid w:val="00B76FDB"/>
    <w:rsid w:val="00B81962"/>
    <w:rsid w:val="00B82CEB"/>
    <w:rsid w:val="00B86763"/>
    <w:rsid w:val="00B90A70"/>
    <w:rsid w:val="00B9670F"/>
    <w:rsid w:val="00BA3D2F"/>
    <w:rsid w:val="00BB0374"/>
    <w:rsid w:val="00BB23D8"/>
    <w:rsid w:val="00BB4E08"/>
    <w:rsid w:val="00BB7873"/>
    <w:rsid w:val="00BC259F"/>
    <w:rsid w:val="00BC34DF"/>
    <w:rsid w:val="00BC5D4C"/>
    <w:rsid w:val="00BD4137"/>
    <w:rsid w:val="00BD4EFE"/>
    <w:rsid w:val="00BD6B57"/>
    <w:rsid w:val="00BE190A"/>
    <w:rsid w:val="00BE326B"/>
    <w:rsid w:val="00BE7DA5"/>
    <w:rsid w:val="00BF0573"/>
    <w:rsid w:val="00BF220D"/>
    <w:rsid w:val="00BF26BF"/>
    <w:rsid w:val="00BF2929"/>
    <w:rsid w:val="00BF43D9"/>
    <w:rsid w:val="00BF59A5"/>
    <w:rsid w:val="00BF6F41"/>
    <w:rsid w:val="00C017F1"/>
    <w:rsid w:val="00C01ED2"/>
    <w:rsid w:val="00C026A6"/>
    <w:rsid w:val="00C02E3E"/>
    <w:rsid w:val="00C0374B"/>
    <w:rsid w:val="00C13FA6"/>
    <w:rsid w:val="00C13FEA"/>
    <w:rsid w:val="00C1616E"/>
    <w:rsid w:val="00C17A69"/>
    <w:rsid w:val="00C17A97"/>
    <w:rsid w:val="00C2271A"/>
    <w:rsid w:val="00C23677"/>
    <w:rsid w:val="00C24860"/>
    <w:rsid w:val="00C24F8E"/>
    <w:rsid w:val="00C250D9"/>
    <w:rsid w:val="00C30003"/>
    <w:rsid w:val="00C35570"/>
    <w:rsid w:val="00C37397"/>
    <w:rsid w:val="00C37431"/>
    <w:rsid w:val="00C40863"/>
    <w:rsid w:val="00C423D4"/>
    <w:rsid w:val="00C43280"/>
    <w:rsid w:val="00C433F0"/>
    <w:rsid w:val="00C43418"/>
    <w:rsid w:val="00C464C1"/>
    <w:rsid w:val="00C57E86"/>
    <w:rsid w:val="00C57FAC"/>
    <w:rsid w:val="00C70B23"/>
    <w:rsid w:val="00C72DE0"/>
    <w:rsid w:val="00C738AB"/>
    <w:rsid w:val="00C7670E"/>
    <w:rsid w:val="00C76B39"/>
    <w:rsid w:val="00C80051"/>
    <w:rsid w:val="00C81F24"/>
    <w:rsid w:val="00C83B3E"/>
    <w:rsid w:val="00C9390A"/>
    <w:rsid w:val="00C95C4C"/>
    <w:rsid w:val="00CA3988"/>
    <w:rsid w:val="00CA3BFE"/>
    <w:rsid w:val="00CA68A1"/>
    <w:rsid w:val="00CB08C7"/>
    <w:rsid w:val="00CB08E3"/>
    <w:rsid w:val="00CB4802"/>
    <w:rsid w:val="00CB7A7B"/>
    <w:rsid w:val="00CC0580"/>
    <w:rsid w:val="00CC5426"/>
    <w:rsid w:val="00CC5A16"/>
    <w:rsid w:val="00CC5D78"/>
    <w:rsid w:val="00CC6684"/>
    <w:rsid w:val="00CC7FE2"/>
    <w:rsid w:val="00CD0814"/>
    <w:rsid w:val="00CD3999"/>
    <w:rsid w:val="00CD4588"/>
    <w:rsid w:val="00CE0265"/>
    <w:rsid w:val="00CE2D4F"/>
    <w:rsid w:val="00CE314B"/>
    <w:rsid w:val="00D02D8A"/>
    <w:rsid w:val="00D048B7"/>
    <w:rsid w:val="00D13B19"/>
    <w:rsid w:val="00D149F5"/>
    <w:rsid w:val="00D17979"/>
    <w:rsid w:val="00D21B52"/>
    <w:rsid w:val="00D2212D"/>
    <w:rsid w:val="00D243A8"/>
    <w:rsid w:val="00D256FE"/>
    <w:rsid w:val="00D26B98"/>
    <w:rsid w:val="00D315A1"/>
    <w:rsid w:val="00D33342"/>
    <w:rsid w:val="00D3530C"/>
    <w:rsid w:val="00D3596E"/>
    <w:rsid w:val="00D43B50"/>
    <w:rsid w:val="00D46722"/>
    <w:rsid w:val="00D53031"/>
    <w:rsid w:val="00D57733"/>
    <w:rsid w:val="00D57ACE"/>
    <w:rsid w:val="00D57DCF"/>
    <w:rsid w:val="00D605BE"/>
    <w:rsid w:val="00D61E1C"/>
    <w:rsid w:val="00D62819"/>
    <w:rsid w:val="00D63707"/>
    <w:rsid w:val="00D64D70"/>
    <w:rsid w:val="00D6587D"/>
    <w:rsid w:val="00D66A2C"/>
    <w:rsid w:val="00D66CC0"/>
    <w:rsid w:val="00D73A91"/>
    <w:rsid w:val="00D74AE6"/>
    <w:rsid w:val="00D775C1"/>
    <w:rsid w:val="00D84E93"/>
    <w:rsid w:val="00D860E9"/>
    <w:rsid w:val="00D86734"/>
    <w:rsid w:val="00D928D9"/>
    <w:rsid w:val="00D92EE8"/>
    <w:rsid w:val="00DA01A6"/>
    <w:rsid w:val="00DA1965"/>
    <w:rsid w:val="00DA1DD6"/>
    <w:rsid w:val="00DA1E20"/>
    <w:rsid w:val="00DA7457"/>
    <w:rsid w:val="00DB0DD8"/>
    <w:rsid w:val="00DB1E52"/>
    <w:rsid w:val="00DB3B0F"/>
    <w:rsid w:val="00DB5CD2"/>
    <w:rsid w:val="00DC0F13"/>
    <w:rsid w:val="00DC6170"/>
    <w:rsid w:val="00DD2719"/>
    <w:rsid w:val="00DD2962"/>
    <w:rsid w:val="00DD345C"/>
    <w:rsid w:val="00DD5EA1"/>
    <w:rsid w:val="00DD64D0"/>
    <w:rsid w:val="00DD6983"/>
    <w:rsid w:val="00DD78A7"/>
    <w:rsid w:val="00DE0AEE"/>
    <w:rsid w:val="00DE7555"/>
    <w:rsid w:val="00DE7722"/>
    <w:rsid w:val="00DE77E4"/>
    <w:rsid w:val="00DE7A4A"/>
    <w:rsid w:val="00DF122E"/>
    <w:rsid w:val="00DF16A4"/>
    <w:rsid w:val="00DF190E"/>
    <w:rsid w:val="00DF34E5"/>
    <w:rsid w:val="00DF40F4"/>
    <w:rsid w:val="00DF4B26"/>
    <w:rsid w:val="00DF5B38"/>
    <w:rsid w:val="00DF650B"/>
    <w:rsid w:val="00E000EE"/>
    <w:rsid w:val="00E01E98"/>
    <w:rsid w:val="00E01F46"/>
    <w:rsid w:val="00E04946"/>
    <w:rsid w:val="00E0661B"/>
    <w:rsid w:val="00E06DB2"/>
    <w:rsid w:val="00E1557C"/>
    <w:rsid w:val="00E155B3"/>
    <w:rsid w:val="00E169E4"/>
    <w:rsid w:val="00E22668"/>
    <w:rsid w:val="00E22708"/>
    <w:rsid w:val="00E270BF"/>
    <w:rsid w:val="00E30A72"/>
    <w:rsid w:val="00E35AAA"/>
    <w:rsid w:val="00E36E8C"/>
    <w:rsid w:val="00E413E9"/>
    <w:rsid w:val="00E42C25"/>
    <w:rsid w:val="00E42CB4"/>
    <w:rsid w:val="00E46092"/>
    <w:rsid w:val="00E51FCA"/>
    <w:rsid w:val="00E52013"/>
    <w:rsid w:val="00E56788"/>
    <w:rsid w:val="00E56A54"/>
    <w:rsid w:val="00E601E6"/>
    <w:rsid w:val="00E65E00"/>
    <w:rsid w:val="00E6612C"/>
    <w:rsid w:val="00E721BF"/>
    <w:rsid w:val="00E74773"/>
    <w:rsid w:val="00E75ED3"/>
    <w:rsid w:val="00E76C96"/>
    <w:rsid w:val="00E82323"/>
    <w:rsid w:val="00E865DA"/>
    <w:rsid w:val="00E91BD4"/>
    <w:rsid w:val="00E920E7"/>
    <w:rsid w:val="00EA0C65"/>
    <w:rsid w:val="00EA6CC2"/>
    <w:rsid w:val="00EB0BA5"/>
    <w:rsid w:val="00EB1BE3"/>
    <w:rsid w:val="00EB3870"/>
    <w:rsid w:val="00EB43B2"/>
    <w:rsid w:val="00EB6881"/>
    <w:rsid w:val="00EC306B"/>
    <w:rsid w:val="00EC4F8F"/>
    <w:rsid w:val="00EC5EF7"/>
    <w:rsid w:val="00EC6B4C"/>
    <w:rsid w:val="00ED2929"/>
    <w:rsid w:val="00ED3CD1"/>
    <w:rsid w:val="00ED4C6C"/>
    <w:rsid w:val="00ED7B4D"/>
    <w:rsid w:val="00EE41D8"/>
    <w:rsid w:val="00EE5E56"/>
    <w:rsid w:val="00EF00BF"/>
    <w:rsid w:val="00EF181A"/>
    <w:rsid w:val="00EF35CB"/>
    <w:rsid w:val="00F03DA7"/>
    <w:rsid w:val="00F045EC"/>
    <w:rsid w:val="00F04FDF"/>
    <w:rsid w:val="00F24B45"/>
    <w:rsid w:val="00F26F28"/>
    <w:rsid w:val="00F31DA3"/>
    <w:rsid w:val="00F3586C"/>
    <w:rsid w:val="00F366E8"/>
    <w:rsid w:val="00F36BB1"/>
    <w:rsid w:val="00F375E3"/>
    <w:rsid w:val="00F405AC"/>
    <w:rsid w:val="00F436F1"/>
    <w:rsid w:val="00F43C42"/>
    <w:rsid w:val="00F52DFB"/>
    <w:rsid w:val="00F56424"/>
    <w:rsid w:val="00F5738E"/>
    <w:rsid w:val="00F61545"/>
    <w:rsid w:val="00F67DC7"/>
    <w:rsid w:val="00F72E82"/>
    <w:rsid w:val="00F76F31"/>
    <w:rsid w:val="00F82F83"/>
    <w:rsid w:val="00F84B21"/>
    <w:rsid w:val="00F90D8C"/>
    <w:rsid w:val="00F93E3E"/>
    <w:rsid w:val="00F9404A"/>
    <w:rsid w:val="00F96DF2"/>
    <w:rsid w:val="00FA0D58"/>
    <w:rsid w:val="00FA3259"/>
    <w:rsid w:val="00FA3F90"/>
    <w:rsid w:val="00FA4340"/>
    <w:rsid w:val="00FA4D77"/>
    <w:rsid w:val="00FA51FD"/>
    <w:rsid w:val="00FB1267"/>
    <w:rsid w:val="00FB1DA4"/>
    <w:rsid w:val="00FC07DB"/>
    <w:rsid w:val="00FC15C4"/>
    <w:rsid w:val="00FD3214"/>
    <w:rsid w:val="00FD39D4"/>
    <w:rsid w:val="00FD7366"/>
    <w:rsid w:val="00FE21D9"/>
    <w:rsid w:val="00FE5AF7"/>
    <w:rsid w:val="00FF1610"/>
    <w:rsid w:val="00FF233F"/>
    <w:rsid w:val="00FF2B05"/>
    <w:rsid w:val="00FF5201"/>
    <w:rsid w:val="00FF5EC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9757"/>
  <w15:chartTrackingRefBased/>
  <w15:docId w15:val="{E6E2D17B-DFAE-F84C-9298-7EC608813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édaction"/>
    <w:qFormat/>
    <w:rsid w:val="00CB08E3"/>
    <w:pPr>
      <w:spacing w:before="120" w:after="120" w:line="288" w:lineRule="auto"/>
      <w:ind w:firstLine="397"/>
      <w:jc w:val="both"/>
    </w:pPr>
    <w:rPr>
      <w:rFonts w:ascii="Garamond" w:hAnsi="Garamond"/>
      <w:sz w:val="22"/>
    </w:rPr>
  </w:style>
  <w:style w:type="paragraph" w:styleId="Titre1">
    <w:name w:val="heading 1"/>
    <w:aliases w:val="Sous-partie"/>
    <w:next w:val="Normal"/>
    <w:link w:val="Titre1Car"/>
    <w:autoRedefine/>
    <w:uiPriority w:val="9"/>
    <w:qFormat/>
    <w:rsid w:val="00D860E9"/>
    <w:pPr>
      <w:keepNext/>
      <w:keepLines/>
      <w:spacing w:before="120" w:after="120"/>
      <w:ind w:left="284"/>
      <w:outlineLvl w:val="0"/>
    </w:pPr>
    <w:rPr>
      <w:rFonts w:ascii="Garamond" w:eastAsiaTheme="majorEastAsia" w:hAnsi="Garamond" w:cstheme="majorBidi"/>
      <w:color w:val="000000" w:themeColor="text1"/>
      <w:sz w:val="22"/>
      <w:szCs w:val="32"/>
      <w:u w:val="single"/>
    </w:rPr>
  </w:style>
  <w:style w:type="paragraph" w:styleId="Titre2">
    <w:name w:val="heading 2"/>
    <w:aliases w:val="Sous-partie (2)"/>
    <w:basedOn w:val="Normal"/>
    <w:next w:val="Normal"/>
    <w:link w:val="Titre2Car"/>
    <w:autoRedefine/>
    <w:uiPriority w:val="9"/>
    <w:unhideWhenUsed/>
    <w:qFormat/>
    <w:rsid w:val="00D048B7"/>
    <w:pPr>
      <w:keepNext/>
      <w:keepLines/>
      <w:spacing w:line="240" w:lineRule="auto"/>
      <w:ind w:firstLine="680"/>
      <w:outlineLvl w:val="1"/>
    </w:pPr>
    <w:rPr>
      <w:rFonts w:eastAsiaTheme="majorEastAsia" w:cstheme="majorBidi"/>
      <w:i/>
      <w:color w:val="000000" w:themeColor="text1"/>
      <w:szCs w:val="26"/>
    </w:rPr>
  </w:style>
  <w:style w:type="paragraph" w:styleId="Titre3">
    <w:name w:val="heading 3"/>
    <w:basedOn w:val="Normal"/>
    <w:next w:val="Normal"/>
    <w:link w:val="Titre3Car"/>
    <w:autoRedefine/>
    <w:uiPriority w:val="9"/>
    <w:unhideWhenUsed/>
    <w:qFormat/>
    <w:rsid w:val="00983480"/>
    <w:pPr>
      <w:keepNext/>
      <w:keepLines/>
      <w:spacing w:before="40"/>
      <w:ind w:firstLine="567"/>
      <w:outlineLvl w:val="2"/>
    </w:pPr>
    <w:rPr>
      <w:rFonts w:eastAsiaTheme="majorEastAsia" w:cstheme="majorBidi"/>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tes">
    <w:name w:val="Notes"/>
    <w:basedOn w:val="Normal"/>
    <w:qFormat/>
    <w:rsid w:val="000313B3"/>
    <w:pPr>
      <w:spacing w:before="0" w:after="0" w:line="240" w:lineRule="auto"/>
      <w:ind w:firstLine="0"/>
    </w:pPr>
    <w:rPr>
      <w:color w:val="000000" w:themeColor="text1"/>
      <w:sz w:val="20"/>
    </w:rPr>
  </w:style>
  <w:style w:type="character" w:customStyle="1" w:styleId="Titre1Car">
    <w:name w:val="Titre 1 Car"/>
    <w:aliases w:val="Sous-partie Car"/>
    <w:basedOn w:val="Policepardfaut"/>
    <w:link w:val="Titre1"/>
    <w:uiPriority w:val="9"/>
    <w:rsid w:val="00D860E9"/>
    <w:rPr>
      <w:rFonts w:ascii="Garamond" w:eastAsiaTheme="majorEastAsia" w:hAnsi="Garamond" w:cstheme="majorBidi"/>
      <w:color w:val="000000" w:themeColor="text1"/>
      <w:sz w:val="22"/>
      <w:szCs w:val="32"/>
      <w:u w:val="single"/>
    </w:rPr>
  </w:style>
  <w:style w:type="character" w:customStyle="1" w:styleId="Titre2Car">
    <w:name w:val="Titre 2 Car"/>
    <w:aliases w:val="Sous-partie (2) Car"/>
    <w:basedOn w:val="Policepardfaut"/>
    <w:link w:val="Titre2"/>
    <w:uiPriority w:val="9"/>
    <w:rsid w:val="00D048B7"/>
    <w:rPr>
      <w:rFonts w:ascii="Garamond" w:eastAsiaTheme="majorEastAsia" w:hAnsi="Garamond" w:cstheme="majorBidi"/>
      <w:i/>
      <w:color w:val="000000" w:themeColor="text1"/>
      <w:szCs w:val="26"/>
    </w:rPr>
  </w:style>
  <w:style w:type="paragraph" w:styleId="Sansinterligne">
    <w:name w:val="No Spacing"/>
    <w:aliases w:val="Titres de parties,rédaction"/>
    <w:next w:val="Normal"/>
    <w:uiPriority w:val="1"/>
    <w:qFormat/>
    <w:rsid w:val="002858DB"/>
    <w:pPr>
      <w:spacing w:before="240" w:after="240"/>
      <w:jc w:val="both"/>
      <w:outlineLvl w:val="0"/>
    </w:pPr>
    <w:rPr>
      <w:rFonts w:ascii="Garamond" w:hAnsi="Garamond"/>
      <w:b/>
      <w:sz w:val="22"/>
    </w:rPr>
  </w:style>
  <w:style w:type="paragraph" w:styleId="Titre">
    <w:name w:val="Title"/>
    <w:aliases w:val="Titre de document"/>
    <w:next w:val="Normal"/>
    <w:link w:val="TitreCar"/>
    <w:uiPriority w:val="10"/>
    <w:qFormat/>
    <w:rsid w:val="000313B3"/>
    <w:pPr>
      <w:spacing w:after="240" w:line="288" w:lineRule="auto"/>
      <w:contextualSpacing/>
      <w:jc w:val="center"/>
    </w:pPr>
    <w:rPr>
      <w:rFonts w:ascii="Garamond" w:eastAsiaTheme="majorEastAsia" w:hAnsi="Garamond" w:cstheme="majorBidi"/>
      <w:b/>
      <w:spacing w:val="-10"/>
      <w:kern w:val="28"/>
      <w:sz w:val="26"/>
      <w:szCs w:val="56"/>
    </w:rPr>
  </w:style>
  <w:style w:type="character" w:customStyle="1" w:styleId="TitreCar">
    <w:name w:val="Titre Car"/>
    <w:aliases w:val="Titre de document Car"/>
    <w:basedOn w:val="Policepardfaut"/>
    <w:link w:val="Titre"/>
    <w:uiPriority w:val="10"/>
    <w:rsid w:val="000313B3"/>
    <w:rPr>
      <w:rFonts w:ascii="Garamond" w:eastAsiaTheme="majorEastAsia" w:hAnsi="Garamond" w:cstheme="majorBidi"/>
      <w:b/>
      <w:spacing w:val="-10"/>
      <w:kern w:val="28"/>
      <w:sz w:val="26"/>
      <w:szCs w:val="56"/>
    </w:rPr>
  </w:style>
  <w:style w:type="paragraph" w:customStyle="1" w:styleId="Encart">
    <w:name w:val="Encart"/>
    <w:basedOn w:val="Notes"/>
    <w:qFormat/>
    <w:rsid w:val="00E270BF"/>
    <w:pPr>
      <w:pBdr>
        <w:left w:val="single" w:sz="4" w:space="4" w:color="auto"/>
      </w:pBdr>
      <w:ind w:left="170"/>
    </w:pPr>
    <w:rPr>
      <w:sz w:val="22"/>
    </w:rPr>
  </w:style>
  <w:style w:type="paragraph" w:styleId="Citation">
    <w:name w:val="Quote"/>
    <w:basedOn w:val="Normal"/>
    <w:next w:val="Normal"/>
    <w:link w:val="CitationCar"/>
    <w:uiPriority w:val="29"/>
    <w:qFormat/>
    <w:rsid w:val="00E270BF"/>
    <w:pPr>
      <w:spacing w:line="276" w:lineRule="auto"/>
      <w:ind w:left="1134" w:firstLine="0"/>
    </w:pPr>
    <w:rPr>
      <w:iCs/>
      <w:color w:val="404040" w:themeColor="text1" w:themeTint="BF"/>
    </w:rPr>
  </w:style>
  <w:style w:type="character" w:customStyle="1" w:styleId="CitationCar">
    <w:name w:val="Citation Car"/>
    <w:basedOn w:val="Policepardfaut"/>
    <w:link w:val="Citation"/>
    <w:uiPriority w:val="29"/>
    <w:rsid w:val="00E270BF"/>
    <w:rPr>
      <w:rFonts w:ascii="Garamond" w:hAnsi="Garamond"/>
      <w:iCs/>
      <w:color w:val="404040" w:themeColor="text1" w:themeTint="BF"/>
      <w:sz w:val="22"/>
    </w:rPr>
  </w:style>
  <w:style w:type="paragraph" w:customStyle="1" w:styleId="Biblio">
    <w:name w:val="Biblio"/>
    <w:basedOn w:val="Normal"/>
    <w:qFormat/>
    <w:rsid w:val="00E270BF"/>
    <w:pPr>
      <w:spacing w:before="80" w:after="80"/>
      <w:ind w:firstLine="0"/>
    </w:pPr>
  </w:style>
  <w:style w:type="character" w:customStyle="1" w:styleId="Titre3Car">
    <w:name w:val="Titre 3 Car"/>
    <w:basedOn w:val="Policepardfaut"/>
    <w:link w:val="Titre3"/>
    <w:uiPriority w:val="9"/>
    <w:rsid w:val="00983480"/>
    <w:rPr>
      <w:rFonts w:ascii="Garamond" w:eastAsiaTheme="majorEastAsia" w:hAnsi="Garamond" w:cstheme="majorBidi"/>
      <w:color w:val="000000" w:themeColor="text1"/>
      <w:sz w:val="22"/>
    </w:rPr>
  </w:style>
  <w:style w:type="character" w:customStyle="1" w:styleId="Nomsdepersonnes">
    <w:name w:val="Noms de personnes"/>
    <w:basedOn w:val="Policepardfaut"/>
    <w:uiPriority w:val="1"/>
    <w:qFormat/>
    <w:rsid w:val="00F82F83"/>
    <w:rPr>
      <w:color w:val="4472C4" w:themeColor="accent1"/>
      <w:sz w:val="20"/>
      <w:szCs w:val="22"/>
    </w:rPr>
  </w:style>
  <w:style w:type="character" w:customStyle="1" w:styleId="Indexpersonnes">
    <w:name w:val="Index personnes"/>
    <w:basedOn w:val="Policepardfaut"/>
    <w:uiPriority w:val="1"/>
    <w:qFormat/>
    <w:rsid w:val="002858DB"/>
    <w:rPr>
      <w:rFonts w:ascii="Garamond" w:hAnsi="Garamond"/>
      <w:color w:val="7030A0"/>
      <w:sz w:val="20"/>
      <w:szCs w:val="22"/>
    </w:rPr>
  </w:style>
  <w:style w:type="table" w:styleId="Grilledutableau">
    <w:name w:val="Table Grid"/>
    <w:basedOn w:val="TableauNormal"/>
    <w:uiPriority w:val="39"/>
    <w:rsid w:val="00C7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unhideWhenUsed/>
    <w:rsid w:val="00331953"/>
    <w:rPr>
      <w:vertAlign w:val="superscript"/>
    </w:rPr>
  </w:style>
  <w:style w:type="character" w:styleId="Lienhypertexte">
    <w:name w:val="Hyperlink"/>
    <w:basedOn w:val="Policepardfaut"/>
    <w:uiPriority w:val="99"/>
    <w:unhideWhenUsed/>
    <w:rsid w:val="000122F3"/>
    <w:rPr>
      <w:color w:val="0563C1" w:themeColor="hyperlink"/>
      <w:u w:val="single"/>
    </w:rPr>
  </w:style>
  <w:style w:type="character" w:styleId="Lienhypertextesuivivisit">
    <w:name w:val="FollowedHyperlink"/>
    <w:basedOn w:val="Policepardfaut"/>
    <w:uiPriority w:val="99"/>
    <w:semiHidden/>
    <w:unhideWhenUsed/>
    <w:rsid w:val="0030410F"/>
    <w:rPr>
      <w:color w:val="954F72" w:themeColor="followedHyperlink"/>
      <w:u w:val="single"/>
    </w:rPr>
  </w:style>
  <w:style w:type="paragraph" w:styleId="Notedebasdepage">
    <w:name w:val="footnote text"/>
    <w:basedOn w:val="Normal"/>
    <w:link w:val="NotedebasdepageCar"/>
    <w:uiPriority w:val="99"/>
    <w:semiHidden/>
    <w:unhideWhenUsed/>
    <w:rsid w:val="009D5472"/>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9D5472"/>
    <w:rPr>
      <w:rFonts w:ascii="Garamond" w:hAnsi="Garamond"/>
      <w:sz w:val="20"/>
      <w:szCs w:val="20"/>
    </w:rPr>
  </w:style>
  <w:style w:type="character" w:customStyle="1" w:styleId="apple-converted-space">
    <w:name w:val="apple-converted-space"/>
    <w:basedOn w:val="Policepardfaut"/>
    <w:rsid w:val="00D860E9"/>
  </w:style>
  <w:style w:type="character" w:styleId="Accentuation">
    <w:name w:val="Emphasis"/>
    <w:basedOn w:val="Policepardfaut"/>
    <w:qFormat/>
    <w:rsid w:val="00D860E9"/>
    <w:rPr>
      <w:i/>
      <w:iCs/>
    </w:rPr>
  </w:style>
  <w:style w:type="paragraph" w:styleId="Paragraphedeliste">
    <w:name w:val="List Paragraph"/>
    <w:basedOn w:val="Normal"/>
    <w:uiPriority w:val="34"/>
    <w:qFormat/>
    <w:rsid w:val="00E6612C"/>
    <w:pPr>
      <w:ind w:left="720"/>
      <w:contextualSpacing/>
    </w:pPr>
  </w:style>
  <w:style w:type="paragraph" w:customStyle="1" w:styleId="Standard">
    <w:name w:val="Standard"/>
    <w:rsid w:val="00D3596E"/>
    <w:pPr>
      <w:suppressAutoHyphens/>
      <w:autoSpaceDN w:val="0"/>
      <w:textAlignment w:val="baseline"/>
    </w:pPr>
    <w:rPr>
      <w:rFonts w:ascii="Liberation Serif" w:eastAsia="NSimSun" w:hAnsi="Liberation Serif" w:cs="Arial"/>
      <w:kern w:val="3"/>
      <w:lang w:eastAsia="zh-CN" w:bidi="hi-IN"/>
    </w:rPr>
  </w:style>
  <w:style w:type="paragraph" w:customStyle="1" w:styleId="Footnote">
    <w:name w:val="Footnote"/>
    <w:basedOn w:val="Standard"/>
    <w:rsid w:val="00654F82"/>
    <w:pPr>
      <w:suppressLineNumbers/>
      <w:ind w:left="339" w:hanging="339"/>
    </w:pPr>
    <w:rPr>
      <w:rFonts w:eastAsia="SimSun"/>
      <w:sz w:val="20"/>
      <w:szCs w:val="20"/>
    </w:rPr>
  </w:style>
  <w:style w:type="paragraph" w:styleId="En-tte">
    <w:name w:val="header"/>
    <w:basedOn w:val="Normal"/>
    <w:link w:val="En-tteCar"/>
    <w:uiPriority w:val="99"/>
    <w:unhideWhenUsed/>
    <w:rsid w:val="00AB69A5"/>
    <w:pPr>
      <w:tabs>
        <w:tab w:val="center" w:pos="4536"/>
        <w:tab w:val="right" w:pos="9072"/>
      </w:tabs>
      <w:spacing w:before="0" w:after="0" w:line="240" w:lineRule="auto"/>
    </w:pPr>
  </w:style>
  <w:style w:type="character" w:customStyle="1" w:styleId="En-tteCar">
    <w:name w:val="En-tête Car"/>
    <w:basedOn w:val="Policepardfaut"/>
    <w:link w:val="En-tte"/>
    <w:uiPriority w:val="99"/>
    <w:rsid w:val="00AB69A5"/>
    <w:rPr>
      <w:rFonts w:ascii="Garamond" w:hAnsi="Garamond"/>
      <w:sz w:val="22"/>
    </w:rPr>
  </w:style>
  <w:style w:type="character" w:styleId="Numrodepage">
    <w:name w:val="page number"/>
    <w:basedOn w:val="Policepardfaut"/>
    <w:rsid w:val="00AB69A5"/>
  </w:style>
  <w:style w:type="paragraph" w:styleId="Pieddepage">
    <w:name w:val="footer"/>
    <w:basedOn w:val="Normal"/>
    <w:link w:val="PieddepageCar"/>
    <w:uiPriority w:val="99"/>
    <w:unhideWhenUsed/>
    <w:rsid w:val="00AB69A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B69A5"/>
    <w:rPr>
      <w:rFonts w:ascii="Garamond" w:hAnsi="Garamond"/>
      <w:sz w:val="22"/>
    </w:rPr>
  </w:style>
  <w:style w:type="paragraph" w:styleId="NormalWeb">
    <w:name w:val="Normal (Web)"/>
    <w:basedOn w:val="Normal"/>
    <w:unhideWhenUsed/>
    <w:rsid w:val="00C02E3E"/>
    <w:rPr>
      <w:rFonts w:ascii="Times New Roman" w:hAnsi="Times New Roman" w:cs="Times New Roman"/>
      <w:sz w:val="24"/>
    </w:rPr>
  </w:style>
  <w:style w:type="character" w:styleId="Mentionnonrsolue">
    <w:name w:val="Unresolved Mention"/>
    <w:basedOn w:val="Policepardfaut"/>
    <w:uiPriority w:val="99"/>
    <w:semiHidden/>
    <w:unhideWhenUsed/>
    <w:rsid w:val="002351B5"/>
    <w:rPr>
      <w:color w:val="605E5C"/>
      <w:shd w:val="clear" w:color="auto" w:fill="E1DFDD"/>
    </w:rPr>
  </w:style>
  <w:style w:type="table" w:customStyle="1" w:styleId="Grilledutableau1">
    <w:name w:val="Grille du tableau1"/>
    <w:basedOn w:val="TableauNormal"/>
    <w:next w:val="Grilledutableau"/>
    <w:uiPriority w:val="59"/>
    <w:rsid w:val="00BB037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in">
    <w:name w:val="romain"/>
    <w:basedOn w:val="Policepardfaut"/>
    <w:rsid w:val="008B1B81"/>
    <w:rPr>
      <w:rFonts w:cs="Times New Roman"/>
    </w:rPr>
  </w:style>
  <w:style w:type="character" w:customStyle="1" w:styleId="a-size-large">
    <w:name w:val="a-size-large"/>
    <w:rsid w:val="008B1B81"/>
  </w:style>
  <w:style w:type="character" w:styleId="lev">
    <w:name w:val="Strong"/>
    <w:rsid w:val="008B1B8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1968">
      <w:bodyDiv w:val="1"/>
      <w:marLeft w:val="0"/>
      <w:marRight w:val="0"/>
      <w:marTop w:val="0"/>
      <w:marBottom w:val="0"/>
      <w:divBdr>
        <w:top w:val="none" w:sz="0" w:space="0" w:color="auto"/>
        <w:left w:val="none" w:sz="0" w:space="0" w:color="auto"/>
        <w:bottom w:val="none" w:sz="0" w:space="0" w:color="auto"/>
        <w:right w:val="none" w:sz="0" w:space="0" w:color="auto"/>
      </w:divBdr>
      <w:divsChild>
        <w:div w:id="1228344848">
          <w:marLeft w:val="0"/>
          <w:marRight w:val="0"/>
          <w:marTop w:val="0"/>
          <w:marBottom w:val="0"/>
          <w:divBdr>
            <w:top w:val="none" w:sz="0" w:space="0" w:color="auto"/>
            <w:left w:val="none" w:sz="0" w:space="0" w:color="auto"/>
            <w:bottom w:val="none" w:sz="0" w:space="0" w:color="auto"/>
            <w:right w:val="none" w:sz="0" w:space="0" w:color="auto"/>
          </w:divBdr>
          <w:divsChild>
            <w:div w:id="1110245848">
              <w:marLeft w:val="0"/>
              <w:marRight w:val="0"/>
              <w:marTop w:val="0"/>
              <w:marBottom w:val="0"/>
              <w:divBdr>
                <w:top w:val="none" w:sz="0" w:space="0" w:color="auto"/>
                <w:left w:val="none" w:sz="0" w:space="0" w:color="auto"/>
                <w:bottom w:val="none" w:sz="0" w:space="0" w:color="auto"/>
                <w:right w:val="none" w:sz="0" w:space="0" w:color="auto"/>
              </w:divBdr>
              <w:divsChild>
                <w:div w:id="2079983822">
                  <w:marLeft w:val="0"/>
                  <w:marRight w:val="0"/>
                  <w:marTop w:val="0"/>
                  <w:marBottom w:val="0"/>
                  <w:divBdr>
                    <w:top w:val="none" w:sz="0" w:space="0" w:color="auto"/>
                    <w:left w:val="none" w:sz="0" w:space="0" w:color="auto"/>
                    <w:bottom w:val="none" w:sz="0" w:space="0" w:color="auto"/>
                    <w:right w:val="none" w:sz="0" w:space="0" w:color="auto"/>
                  </w:divBdr>
                  <w:divsChild>
                    <w:div w:id="1361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2818">
      <w:bodyDiv w:val="1"/>
      <w:marLeft w:val="0"/>
      <w:marRight w:val="0"/>
      <w:marTop w:val="0"/>
      <w:marBottom w:val="0"/>
      <w:divBdr>
        <w:top w:val="none" w:sz="0" w:space="0" w:color="auto"/>
        <w:left w:val="none" w:sz="0" w:space="0" w:color="auto"/>
        <w:bottom w:val="none" w:sz="0" w:space="0" w:color="auto"/>
        <w:right w:val="none" w:sz="0" w:space="0" w:color="auto"/>
      </w:divBdr>
      <w:divsChild>
        <w:div w:id="151990255">
          <w:marLeft w:val="0"/>
          <w:marRight w:val="0"/>
          <w:marTop w:val="0"/>
          <w:marBottom w:val="0"/>
          <w:divBdr>
            <w:top w:val="none" w:sz="0" w:space="0" w:color="auto"/>
            <w:left w:val="none" w:sz="0" w:space="0" w:color="auto"/>
            <w:bottom w:val="none" w:sz="0" w:space="0" w:color="auto"/>
            <w:right w:val="none" w:sz="0" w:space="0" w:color="auto"/>
          </w:divBdr>
          <w:divsChild>
            <w:div w:id="1715930736">
              <w:marLeft w:val="0"/>
              <w:marRight w:val="0"/>
              <w:marTop w:val="0"/>
              <w:marBottom w:val="0"/>
              <w:divBdr>
                <w:top w:val="none" w:sz="0" w:space="0" w:color="auto"/>
                <w:left w:val="none" w:sz="0" w:space="0" w:color="auto"/>
                <w:bottom w:val="none" w:sz="0" w:space="0" w:color="auto"/>
                <w:right w:val="none" w:sz="0" w:space="0" w:color="auto"/>
              </w:divBdr>
              <w:divsChild>
                <w:div w:id="4356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8555">
      <w:bodyDiv w:val="1"/>
      <w:marLeft w:val="0"/>
      <w:marRight w:val="0"/>
      <w:marTop w:val="0"/>
      <w:marBottom w:val="0"/>
      <w:divBdr>
        <w:top w:val="none" w:sz="0" w:space="0" w:color="auto"/>
        <w:left w:val="none" w:sz="0" w:space="0" w:color="auto"/>
        <w:bottom w:val="none" w:sz="0" w:space="0" w:color="auto"/>
        <w:right w:val="none" w:sz="0" w:space="0" w:color="auto"/>
      </w:divBdr>
    </w:div>
    <w:div w:id="122163723">
      <w:bodyDiv w:val="1"/>
      <w:marLeft w:val="0"/>
      <w:marRight w:val="0"/>
      <w:marTop w:val="0"/>
      <w:marBottom w:val="0"/>
      <w:divBdr>
        <w:top w:val="none" w:sz="0" w:space="0" w:color="auto"/>
        <w:left w:val="none" w:sz="0" w:space="0" w:color="auto"/>
        <w:bottom w:val="none" w:sz="0" w:space="0" w:color="auto"/>
        <w:right w:val="none" w:sz="0" w:space="0" w:color="auto"/>
      </w:divBdr>
      <w:divsChild>
        <w:div w:id="1962612417">
          <w:marLeft w:val="0"/>
          <w:marRight w:val="0"/>
          <w:marTop w:val="0"/>
          <w:marBottom w:val="0"/>
          <w:divBdr>
            <w:top w:val="none" w:sz="0" w:space="0" w:color="auto"/>
            <w:left w:val="none" w:sz="0" w:space="0" w:color="auto"/>
            <w:bottom w:val="none" w:sz="0" w:space="0" w:color="auto"/>
            <w:right w:val="none" w:sz="0" w:space="0" w:color="auto"/>
          </w:divBdr>
          <w:divsChild>
            <w:div w:id="978221781">
              <w:marLeft w:val="0"/>
              <w:marRight w:val="0"/>
              <w:marTop w:val="0"/>
              <w:marBottom w:val="0"/>
              <w:divBdr>
                <w:top w:val="none" w:sz="0" w:space="0" w:color="auto"/>
                <w:left w:val="none" w:sz="0" w:space="0" w:color="auto"/>
                <w:bottom w:val="none" w:sz="0" w:space="0" w:color="auto"/>
                <w:right w:val="none" w:sz="0" w:space="0" w:color="auto"/>
              </w:divBdr>
              <w:divsChild>
                <w:div w:id="1247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962">
      <w:bodyDiv w:val="1"/>
      <w:marLeft w:val="0"/>
      <w:marRight w:val="0"/>
      <w:marTop w:val="0"/>
      <w:marBottom w:val="0"/>
      <w:divBdr>
        <w:top w:val="none" w:sz="0" w:space="0" w:color="auto"/>
        <w:left w:val="none" w:sz="0" w:space="0" w:color="auto"/>
        <w:bottom w:val="none" w:sz="0" w:space="0" w:color="auto"/>
        <w:right w:val="none" w:sz="0" w:space="0" w:color="auto"/>
      </w:divBdr>
    </w:div>
    <w:div w:id="275984781">
      <w:bodyDiv w:val="1"/>
      <w:marLeft w:val="0"/>
      <w:marRight w:val="0"/>
      <w:marTop w:val="0"/>
      <w:marBottom w:val="0"/>
      <w:divBdr>
        <w:top w:val="none" w:sz="0" w:space="0" w:color="auto"/>
        <w:left w:val="none" w:sz="0" w:space="0" w:color="auto"/>
        <w:bottom w:val="none" w:sz="0" w:space="0" w:color="auto"/>
        <w:right w:val="none" w:sz="0" w:space="0" w:color="auto"/>
      </w:divBdr>
      <w:divsChild>
        <w:div w:id="1923249751">
          <w:marLeft w:val="0"/>
          <w:marRight w:val="0"/>
          <w:marTop w:val="0"/>
          <w:marBottom w:val="0"/>
          <w:divBdr>
            <w:top w:val="none" w:sz="0" w:space="0" w:color="auto"/>
            <w:left w:val="none" w:sz="0" w:space="0" w:color="auto"/>
            <w:bottom w:val="none" w:sz="0" w:space="0" w:color="auto"/>
            <w:right w:val="none" w:sz="0" w:space="0" w:color="auto"/>
          </w:divBdr>
          <w:divsChild>
            <w:div w:id="1106996665">
              <w:marLeft w:val="0"/>
              <w:marRight w:val="0"/>
              <w:marTop w:val="0"/>
              <w:marBottom w:val="0"/>
              <w:divBdr>
                <w:top w:val="none" w:sz="0" w:space="0" w:color="auto"/>
                <w:left w:val="none" w:sz="0" w:space="0" w:color="auto"/>
                <w:bottom w:val="none" w:sz="0" w:space="0" w:color="auto"/>
                <w:right w:val="none" w:sz="0" w:space="0" w:color="auto"/>
              </w:divBdr>
              <w:divsChild>
                <w:div w:id="1134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02686">
      <w:bodyDiv w:val="1"/>
      <w:marLeft w:val="0"/>
      <w:marRight w:val="0"/>
      <w:marTop w:val="0"/>
      <w:marBottom w:val="0"/>
      <w:divBdr>
        <w:top w:val="none" w:sz="0" w:space="0" w:color="auto"/>
        <w:left w:val="none" w:sz="0" w:space="0" w:color="auto"/>
        <w:bottom w:val="none" w:sz="0" w:space="0" w:color="auto"/>
        <w:right w:val="none" w:sz="0" w:space="0" w:color="auto"/>
      </w:divBdr>
    </w:div>
    <w:div w:id="328870517">
      <w:bodyDiv w:val="1"/>
      <w:marLeft w:val="0"/>
      <w:marRight w:val="0"/>
      <w:marTop w:val="0"/>
      <w:marBottom w:val="0"/>
      <w:divBdr>
        <w:top w:val="none" w:sz="0" w:space="0" w:color="auto"/>
        <w:left w:val="none" w:sz="0" w:space="0" w:color="auto"/>
        <w:bottom w:val="none" w:sz="0" w:space="0" w:color="auto"/>
        <w:right w:val="none" w:sz="0" w:space="0" w:color="auto"/>
      </w:divBdr>
    </w:div>
    <w:div w:id="337119178">
      <w:bodyDiv w:val="1"/>
      <w:marLeft w:val="0"/>
      <w:marRight w:val="0"/>
      <w:marTop w:val="0"/>
      <w:marBottom w:val="0"/>
      <w:divBdr>
        <w:top w:val="none" w:sz="0" w:space="0" w:color="auto"/>
        <w:left w:val="none" w:sz="0" w:space="0" w:color="auto"/>
        <w:bottom w:val="none" w:sz="0" w:space="0" w:color="auto"/>
        <w:right w:val="none" w:sz="0" w:space="0" w:color="auto"/>
      </w:divBdr>
      <w:divsChild>
        <w:div w:id="47924963">
          <w:marLeft w:val="0"/>
          <w:marRight w:val="0"/>
          <w:marTop w:val="0"/>
          <w:marBottom w:val="0"/>
          <w:divBdr>
            <w:top w:val="none" w:sz="0" w:space="0" w:color="auto"/>
            <w:left w:val="none" w:sz="0" w:space="0" w:color="auto"/>
            <w:bottom w:val="none" w:sz="0" w:space="0" w:color="auto"/>
            <w:right w:val="none" w:sz="0" w:space="0" w:color="auto"/>
          </w:divBdr>
          <w:divsChild>
            <w:div w:id="598950710">
              <w:marLeft w:val="0"/>
              <w:marRight w:val="0"/>
              <w:marTop w:val="0"/>
              <w:marBottom w:val="0"/>
              <w:divBdr>
                <w:top w:val="none" w:sz="0" w:space="0" w:color="auto"/>
                <w:left w:val="none" w:sz="0" w:space="0" w:color="auto"/>
                <w:bottom w:val="none" w:sz="0" w:space="0" w:color="auto"/>
                <w:right w:val="none" w:sz="0" w:space="0" w:color="auto"/>
              </w:divBdr>
              <w:divsChild>
                <w:div w:id="10012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0871">
      <w:bodyDiv w:val="1"/>
      <w:marLeft w:val="0"/>
      <w:marRight w:val="0"/>
      <w:marTop w:val="0"/>
      <w:marBottom w:val="0"/>
      <w:divBdr>
        <w:top w:val="none" w:sz="0" w:space="0" w:color="auto"/>
        <w:left w:val="none" w:sz="0" w:space="0" w:color="auto"/>
        <w:bottom w:val="none" w:sz="0" w:space="0" w:color="auto"/>
        <w:right w:val="none" w:sz="0" w:space="0" w:color="auto"/>
      </w:divBdr>
    </w:div>
    <w:div w:id="374240675">
      <w:bodyDiv w:val="1"/>
      <w:marLeft w:val="0"/>
      <w:marRight w:val="0"/>
      <w:marTop w:val="0"/>
      <w:marBottom w:val="0"/>
      <w:divBdr>
        <w:top w:val="none" w:sz="0" w:space="0" w:color="auto"/>
        <w:left w:val="none" w:sz="0" w:space="0" w:color="auto"/>
        <w:bottom w:val="none" w:sz="0" w:space="0" w:color="auto"/>
        <w:right w:val="none" w:sz="0" w:space="0" w:color="auto"/>
      </w:divBdr>
      <w:divsChild>
        <w:div w:id="1427532641">
          <w:marLeft w:val="0"/>
          <w:marRight w:val="0"/>
          <w:marTop w:val="0"/>
          <w:marBottom w:val="0"/>
          <w:divBdr>
            <w:top w:val="none" w:sz="0" w:space="0" w:color="auto"/>
            <w:left w:val="none" w:sz="0" w:space="0" w:color="auto"/>
            <w:bottom w:val="none" w:sz="0" w:space="0" w:color="auto"/>
            <w:right w:val="none" w:sz="0" w:space="0" w:color="auto"/>
          </w:divBdr>
          <w:divsChild>
            <w:div w:id="137649371">
              <w:marLeft w:val="0"/>
              <w:marRight w:val="0"/>
              <w:marTop w:val="0"/>
              <w:marBottom w:val="0"/>
              <w:divBdr>
                <w:top w:val="none" w:sz="0" w:space="0" w:color="auto"/>
                <w:left w:val="none" w:sz="0" w:space="0" w:color="auto"/>
                <w:bottom w:val="none" w:sz="0" w:space="0" w:color="auto"/>
                <w:right w:val="none" w:sz="0" w:space="0" w:color="auto"/>
              </w:divBdr>
              <w:divsChild>
                <w:div w:id="3333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9284">
      <w:bodyDiv w:val="1"/>
      <w:marLeft w:val="0"/>
      <w:marRight w:val="0"/>
      <w:marTop w:val="0"/>
      <w:marBottom w:val="0"/>
      <w:divBdr>
        <w:top w:val="none" w:sz="0" w:space="0" w:color="auto"/>
        <w:left w:val="none" w:sz="0" w:space="0" w:color="auto"/>
        <w:bottom w:val="none" w:sz="0" w:space="0" w:color="auto"/>
        <w:right w:val="none" w:sz="0" w:space="0" w:color="auto"/>
      </w:divBdr>
      <w:divsChild>
        <w:div w:id="2062703386">
          <w:marLeft w:val="0"/>
          <w:marRight w:val="0"/>
          <w:marTop w:val="0"/>
          <w:marBottom w:val="0"/>
          <w:divBdr>
            <w:top w:val="none" w:sz="0" w:space="0" w:color="auto"/>
            <w:left w:val="none" w:sz="0" w:space="0" w:color="auto"/>
            <w:bottom w:val="none" w:sz="0" w:space="0" w:color="auto"/>
            <w:right w:val="none" w:sz="0" w:space="0" w:color="auto"/>
          </w:divBdr>
          <w:divsChild>
            <w:div w:id="313416156">
              <w:marLeft w:val="0"/>
              <w:marRight w:val="0"/>
              <w:marTop w:val="0"/>
              <w:marBottom w:val="0"/>
              <w:divBdr>
                <w:top w:val="none" w:sz="0" w:space="0" w:color="auto"/>
                <w:left w:val="none" w:sz="0" w:space="0" w:color="auto"/>
                <w:bottom w:val="none" w:sz="0" w:space="0" w:color="auto"/>
                <w:right w:val="none" w:sz="0" w:space="0" w:color="auto"/>
              </w:divBdr>
              <w:divsChild>
                <w:div w:id="1817841846">
                  <w:marLeft w:val="0"/>
                  <w:marRight w:val="0"/>
                  <w:marTop w:val="0"/>
                  <w:marBottom w:val="0"/>
                  <w:divBdr>
                    <w:top w:val="none" w:sz="0" w:space="0" w:color="auto"/>
                    <w:left w:val="none" w:sz="0" w:space="0" w:color="auto"/>
                    <w:bottom w:val="none" w:sz="0" w:space="0" w:color="auto"/>
                    <w:right w:val="none" w:sz="0" w:space="0" w:color="auto"/>
                  </w:divBdr>
                  <w:divsChild>
                    <w:div w:id="1082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3925">
      <w:bodyDiv w:val="1"/>
      <w:marLeft w:val="0"/>
      <w:marRight w:val="0"/>
      <w:marTop w:val="0"/>
      <w:marBottom w:val="0"/>
      <w:divBdr>
        <w:top w:val="none" w:sz="0" w:space="0" w:color="auto"/>
        <w:left w:val="none" w:sz="0" w:space="0" w:color="auto"/>
        <w:bottom w:val="none" w:sz="0" w:space="0" w:color="auto"/>
        <w:right w:val="none" w:sz="0" w:space="0" w:color="auto"/>
      </w:divBdr>
    </w:div>
    <w:div w:id="554976439">
      <w:bodyDiv w:val="1"/>
      <w:marLeft w:val="0"/>
      <w:marRight w:val="0"/>
      <w:marTop w:val="0"/>
      <w:marBottom w:val="0"/>
      <w:divBdr>
        <w:top w:val="none" w:sz="0" w:space="0" w:color="auto"/>
        <w:left w:val="none" w:sz="0" w:space="0" w:color="auto"/>
        <w:bottom w:val="none" w:sz="0" w:space="0" w:color="auto"/>
        <w:right w:val="none" w:sz="0" w:space="0" w:color="auto"/>
      </w:divBdr>
    </w:div>
    <w:div w:id="560677005">
      <w:bodyDiv w:val="1"/>
      <w:marLeft w:val="0"/>
      <w:marRight w:val="0"/>
      <w:marTop w:val="0"/>
      <w:marBottom w:val="0"/>
      <w:divBdr>
        <w:top w:val="none" w:sz="0" w:space="0" w:color="auto"/>
        <w:left w:val="none" w:sz="0" w:space="0" w:color="auto"/>
        <w:bottom w:val="none" w:sz="0" w:space="0" w:color="auto"/>
        <w:right w:val="none" w:sz="0" w:space="0" w:color="auto"/>
      </w:divBdr>
      <w:divsChild>
        <w:div w:id="1778526201">
          <w:marLeft w:val="0"/>
          <w:marRight w:val="0"/>
          <w:marTop w:val="0"/>
          <w:marBottom w:val="0"/>
          <w:divBdr>
            <w:top w:val="none" w:sz="0" w:space="0" w:color="auto"/>
            <w:left w:val="none" w:sz="0" w:space="0" w:color="auto"/>
            <w:bottom w:val="none" w:sz="0" w:space="0" w:color="auto"/>
            <w:right w:val="none" w:sz="0" w:space="0" w:color="auto"/>
          </w:divBdr>
          <w:divsChild>
            <w:div w:id="398409492">
              <w:marLeft w:val="0"/>
              <w:marRight w:val="0"/>
              <w:marTop w:val="0"/>
              <w:marBottom w:val="0"/>
              <w:divBdr>
                <w:top w:val="none" w:sz="0" w:space="0" w:color="auto"/>
                <w:left w:val="none" w:sz="0" w:space="0" w:color="auto"/>
                <w:bottom w:val="none" w:sz="0" w:space="0" w:color="auto"/>
                <w:right w:val="none" w:sz="0" w:space="0" w:color="auto"/>
              </w:divBdr>
              <w:divsChild>
                <w:div w:id="755513292">
                  <w:marLeft w:val="0"/>
                  <w:marRight w:val="0"/>
                  <w:marTop w:val="0"/>
                  <w:marBottom w:val="0"/>
                  <w:divBdr>
                    <w:top w:val="none" w:sz="0" w:space="0" w:color="auto"/>
                    <w:left w:val="none" w:sz="0" w:space="0" w:color="auto"/>
                    <w:bottom w:val="none" w:sz="0" w:space="0" w:color="auto"/>
                    <w:right w:val="none" w:sz="0" w:space="0" w:color="auto"/>
                  </w:divBdr>
                  <w:divsChild>
                    <w:div w:id="1265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01234">
      <w:bodyDiv w:val="1"/>
      <w:marLeft w:val="0"/>
      <w:marRight w:val="0"/>
      <w:marTop w:val="0"/>
      <w:marBottom w:val="0"/>
      <w:divBdr>
        <w:top w:val="none" w:sz="0" w:space="0" w:color="auto"/>
        <w:left w:val="none" w:sz="0" w:space="0" w:color="auto"/>
        <w:bottom w:val="none" w:sz="0" w:space="0" w:color="auto"/>
        <w:right w:val="none" w:sz="0" w:space="0" w:color="auto"/>
      </w:divBdr>
      <w:divsChild>
        <w:div w:id="74480880">
          <w:marLeft w:val="0"/>
          <w:marRight w:val="0"/>
          <w:marTop w:val="0"/>
          <w:marBottom w:val="0"/>
          <w:divBdr>
            <w:top w:val="none" w:sz="0" w:space="0" w:color="auto"/>
            <w:left w:val="none" w:sz="0" w:space="0" w:color="auto"/>
            <w:bottom w:val="none" w:sz="0" w:space="0" w:color="auto"/>
            <w:right w:val="none" w:sz="0" w:space="0" w:color="auto"/>
          </w:divBdr>
          <w:divsChild>
            <w:div w:id="2104761883">
              <w:marLeft w:val="0"/>
              <w:marRight w:val="0"/>
              <w:marTop w:val="0"/>
              <w:marBottom w:val="0"/>
              <w:divBdr>
                <w:top w:val="none" w:sz="0" w:space="0" w:color="auto"/>
                <w:left w:val="none" w:sz="0" w:space="0" w:color="auto"/>
                <w:bottom w:val="none" w:sz="0" w:space="0" w:color="auto"/>
                <w:right w:val="none" w:sz="0" w:space="0" w:color="auto"/>
              </w:divBdr>
              <w:divsChild>
                <w:div w:id="14894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22750">
      <w:bodyDiv w:val="1"/>
      <w:marLeft w:val="0"/>
      <w:marRight w:val="0"/>
      <w:marTop w:val="0"/>
      <w:marBottom w:val="0"/>
      <w:divBdr>
        <w:top w:val="none" w:sz="0" w:space="0" w:color="auto"/>
        <w:left w:val="none" w:sz="0" w:space="0" w:color="auto"/>
        <w:bottom w:val="none" w:sz="0" w:space="0" w:color="auto"/>
        <w:right w:val="none" w:sz="0" w:space="0" w:color="auto"/>
      </w:divBdr>
    </w:div>
    <w:div w:id="716710348">
      <w:bodyDiv w:val="1"/>
      <w:marLeft w:val="0"/>
      <w:marRight w:val="0"/>
      <w:marTop w:val="0"/>
      <w:marBottom w:val="0"/>
      <w:divBdr>
        <w:top w:val="none" w:sz="0" w:space="0" w:color="auto"/>
        <w:left w:val="none" w:sz="0" w:space="0" w:color="auto"/>
        <w:bottom w:val="none" w:sz="0" w:space="0" w:color="auto"/>
        <w:right w:val="none" w:sz="0" w:space="0" w:color="auto"/>
      </w:divBdr>
      <w:divsChild>
        <w:div w:id="93792857">
          <w:marLeft w:val="0"/>
          <w:marRight w:val="0"/>
          <w:marTop w:val="0"/>
          <w:marBottom w:val="0"/>
          <w:divBdr>
            <w:top w:val="none" w:sz="0" w:space="0" w:color="auto"/>
            <w:left w:val="none" w:sz="0" w:space="0" w:color="auto"/>
            <w:bottom w:val="none" w:sz="0" w:space="0" w:color="auto"/>
            <w:right w:val="none" w:sz="0" w:space="0" w:color="auto"/>
          </w:divBdr>
          <w:divsChild>
            <w:div w:id="661197031">
              <w:marLeft w:val="0"/>
              <w:marRight w:val="0"/>
              <w:marTop w:val="0"/>
              <w:marBottom w:val="0"/>
              <w:divBdr>
                <w:top w:val="none" w:sz="0" w:space="0" w:color="auto"/>
                <w:left w:val="none" w:sz="0" w:space="0" w:color="auto"/>
                <w:bottom w:val="none" w:sz="0" w:space="0" w:color="auto"/>
                <w:right w:val="none" w:sz="0" w:space="0" w:color="auto"/>
              </w:divBdr>
              <w:divsChild>
                <w:div w:id="454249718">
                  <w:marLeft w:val="0"/>
                  <w:marRight w:val="0"/>
                  <w:marTop w:val="0"/>
                  <w:marBottom w:val="0"/>
                  <w:divBdr>
                    <w:top w:val="none" w:sz="0" w:space="0" w:color="auto"/>
                    <w:left w:val="none" w:sz="0" w:space="0" w:color="auto"/>
                    <w:bottom w:val="none" w:sz="0" w:space="0" w:color="auto"/>
                    <w:right w:val="none" w:sz="0" w:space="0" w:color="auto"/>
                  </w:divBdr>
                  <w:divsChild>
                    <w:div w:id="2130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13094">
      <w:bodyDiv w:val="1"/>
      <w:marLeft w:val="0"/>
      <w:marRight w:val="0"/>
      <w:marTop w:val="0"/>
      <w:marBottom w:val="0"/>
      <w:divBdr>
        <w:top w:val="none" w:sz="0" w:space="0" w:color="auto"/>
        <w:left w:val="none" w:sz="0" w:space="0" w:color="auto"/>
        <w:bottom w:val="none" w:sz="0" w:space="0" w:color="auto"/>
        <w:right w:val="none" w:sz="0" w:space="0" w:color="auto"/>
      </w:divBdr>
    </w:div>
    <w:div w:id="759839221">
      <w:bodyDiv w:val="1"/>
      <w:marLeft w:val="0"/>
      <w:marRight w:val="0"/>
      <w:marTop w:val="0"/>
      <w:marBottom w:val="0"/>
      <w:divBdr>
        <w:top w:val="none" w:sz="0" w:space="0" w:color="auto"/>
        <w:left w:val="none" w:sz="0" w:space="0" w:color="auto"/>
        <w:bottom w:val="none" w:sz="0" w:space="0" w:color="auto"/>
        <w:right w:val="none" w:sz="0" w:space="0" w:color="auto"/>
      </w:divBdr>
      <w:divsChild>
        <w:div w:id="201943302">
          <w:marLeft w:val="0"/>
          <w:marRight w:val="0"/>
          <w:marTop w:val="0"/>
          <w:marBottom w:val="0"/>
          <w:divBdr>
            <w:top w:val="none" w:sz="0" w:space="0" w:color="auto"/>
            <w:left w:val="none" w:sz="0" w:space="0" w:color="auto"/>
            <w:bottom w:val="none" w:sz="0" w:space="0" w:color="auto"/>
            <w:right w:val="none" w:sz="0" w:space="0" w:color="auto"/>
          </w:divBdr>
          <w:divsChild>
            <w:div w:id="898974211">
              <w:marLeft w:val="0"/>
              <w:marRight w:val="0"/>
              <w:marTop w:val="0"/>
              <w:marBottom w:val="0"/>
              <w:divBdr>
                <w:top w:val="none" w:sz="0" w:space="0" w:color="auto"/>
                <w:left w:val="none" w:sz="0" w:space="0" w:color="auto"/>
                <w:bottom w:val="none" w:sz="0" w:space="0" w:color="auto"/>
                <w:right w:val="none" w:sz="0" w:space="0" w:color="auto"/>
              </w:divBdr>
              <w:divsChild>
                <w:div w:id="408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7841">
      <w:bodyDiv w:val="1"/>
      <w:marLeft w:val="0"/>
      <w:marRight w:val="0"/>
      <w:marTop w:val="0"/>
      <w:marBottom w:val="0"/>
      <w:divBdr>
        <w:top w:val="none" w:sz="0" w:space="0" w:color="auto"/>
        <w:left w:val="none" w:sz="0" w:space="0" w:color="auto"/>
        <w:bottom w:val="none" w:sz="0" w:space="0" w:color="auto"/>
        <w:right w:val="none" w:sz="0" w:space="0" w:color="auto"/>
      </w:divBdr>
    </w:div>
    <w:div w:id="805586726">
      <w:bodyDiv w:val="1"/>
      <w:marLeft w:val="0"/>
      <w:marRight w:val="0"/>
      <w:marTop w:val="0"/>
      <w:marBottom w:val="0"/>
      <w:divBdr>
        <w:top w:val="none" w:sz="0" w:space="0" w:color="auto"/>
        <w:left w:val="none" w:sz="0" w:space="0" w:color="auto"/>
        <w:bottom w:val="none" w:sz="0" w:space="0" w:color="auto"/>
        <w:right w:val="none" w:sz="0" w:space="0" w:color="auto"/>
      </w:divBdr>
      <w:divsChild>
        <w:div w:id="89784998">
          <w:marLeft w:val="0"/>
          <w:marRight w:val="0"/>
          <w:marTop w:val="0"/>
          <w:marBottom w:val="0"/>
          <w:divBdr>
            <w:top w:val="none" w:sz="0" w:space="0" w:color="auto"/>
            <w:left w:val="none" w:sz="0" w:space="0" w:color="auto"/>
            <w:bottom w:val="none" w:sz="0" w:space="0" w:color="auto"/>
            <w:right w:val="none" w:sz="0" w:space="0" w:color="auto"/>
          </w:divBdr>
          <w:divsChild>
            <w:div w:id="1600137222">
              <w:marLeft w:val="0"/>
              <w:marRight w:val="0"/>
              <w:marTop w:val="0"/>
              <w:marBottom w:val="0"/>
              <w:divBdr>
                <w:top w:val="none" w:sz="0" w:space="0" w:color="auto"/>
                <w:left w:val="none" w:sz="0" w:space="0" w:color="auto"/>
                <w:bottom w:val="none" w:sz="0" w:space="0" w:color="auto"/>
                <w:right w:val="none" w:sz="0" w:space="0" w:color="auto"/>
              </w:divBdr>
              <w:divsChild>
                <w:div w:id="1121731164">
                  <w:marLeft w:val="0"/>
                  <w:marRight w:val="0"/>
                  <w:marTop w:val="0"/>
                  <w:marBottom w:val="0"/>
                  <w:divBdr>
                    <w:top w:val="none" w:sz="0" w:space="0" w:color="auto"/>
                    <w:left w:val="none" w:sz="0" w:space="0" w:color="auto"/>
                    <w:bottom w:val="none" w:sz="0" w:space="0" w:color="auto"/>
                    <w:right w:val="none" w:sz="0" w:space="0" w:color="auto"/>
                  </w:divBdr>
                  <w:divsChild>
                    <w:div w:id="2165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09045">
      <w:bodyDiv w:val="1"/>
      <w:marLeft w:val="0"/>
      <w:marRight w:val="0"/>
      <w:marTop w:val="0"/>
      <w:marBottom w:val="0"/>
      <w:divBdr>
        <w:top w:val="none" w:sz="0" w:space="0" w:color="auto"/>
        <w:left w:val="none" w:sz="0" w:space="0" w:color="auto"/>
        <w:bottom w:val="none" w:sz="0" w:space="0" w:color="auto"/>
        <w:right w:val="none" w:sz="0" w:space="0" w:color="auto"/>
      </w:divBdr>
    </w:div>
    <w:div w:id="859508589">
      <w:bodyDiv w:val="1"/>
      <w:marLeft w:val="0"/>
      <w:marRight w:val="0"/>
      <w:marTop w:val="0"/>
      <w:marBottom w:val="0"/>
      <w:divBdr>
        <w:top w:val="none" w:sz="0" w:space="0" w:color="auto"/>
        <w:left w:val="none" w:sz="0" w:space="0" w:color="auto"/>
        <w:bottom w:val="none" w:sz="0" w:space="0" w:color="auto"/>
        <w:right w:val="none" w:sz="0" w:space="0" w:color="auto"/>
      </w:divBdr>
    </w:div>
    <w:div w:id="878249646">
      <w:bodyDiv w:val="1"/>
      <w:marLeft w:val="0"/>
      <w:marRight w:val="0"/>
      <w:marTop w:val="0"/>
      <w:marBottom w:val="0"/>
      <w:divBdr>
        <w:top w:val="none" w:sz="0" w:space="0" w:color="auto"/>
        <w:left w:val="none" w:sz="0" w:space="0" w:color="auto"/>
        <w:bottom w:val="none" w:sz="0" w:space="0" w:color="auto"/>
        <w:right w:val="none" w:sz="0" w:space="0" w:color="auto"/>
      </w:divBdr>
      <w:divsChild>
        <w:div w:id="1457749866">
          <w:marLeft w:val="0"/>
          <w:marRight w:val="0"/>
          <w:marTop w:val="0"/>
          <w:marBottom w:val="0"/>
          <w:divBdr>
            <w:top w:val="none" w:sz="0" w:space="0" w:color="auto"/>
            <w:left w:val="none" w:sz="0" w:space="0" w:color="auto"/>
            <w:bottom w:val="none" w:sz="0" w:space="0" w:color="auto"/>
            <w:right w:val="none" w:sz="0" w:space="0" w:color="auto"/>
          </w:divBdr>
          <w:divsChild>
            <w:div w:id="1308896805">
              <w:marLeft w:val="0"/>
              <w:marRight w:val="0"/>
              <w:marTop w:val="0"/>
              <w:marBottom w:val="0"/>
              <w:divBdr>
                <w:top w:val="none" w:sz="0" w:space="0" w:color="auto"/>
                <w:left w:val="none" w:sz="0" w:space="0" w:color="auto"/>
                <w:bottom w:val="none" w:sz="0" w:space="0" w:color="auto"/>
                <w:right w:val="none" w:sz="0" w:space="0" w:color="auto"/>
              </w:divBdr>
              <w:divsChild>
                <w:div w:id="888567701">
                  <w:marLeft w:val="0"/>
                  <w:marRight w:val="0"/>
                  <w:marTop w:val="0"/>
                  <w:marBottom w:val="0"/>
                  <w:divBdr>
                    <w:top w:val="none" w:sz="0" w:space="0" w:color="auto"/>
                    <w:left w:val="none" w:sz="0" w:space="0" w:color="auto"/>
                    <w:bottom w:val="none" w:sz="0" w:space="0" w:color="auto"/>
                    <w:right w:val="none" w:sz="0" w:space="0" w:color="auto"/>
                  </w:divBdr>
                  <w:divsChild>
                    <w:div w:id="1481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917178">
      <w:bodyDiv w:val="1"/>
      <w:marLeft w:val="0"/>
      <w:marRight w:val="0"/>
      <w:marTop w:val="0"/>
      <w:marBottom w:val="0"/>
      <w:divBdr>
        <w:top w:val="none" w:sz="0" w:space="0" w:color="auto"/>
        <w:left w:val="none" w:sz="0" w:space="0" w:color="auto"/>
        <w:bottom w:val="none" w:sz="0" w:space="0" w:color="auto"/>
        <w:right w:val="none" w:sz="0" w:space="0" w:color="auto"/>
      </w:divBdr>
      <w:divsChild>
        <w:div w:id="465634009">
          <w:marLeft w:val="0"/>
          <w:marRight w:val="0"/>
          <w:marTop w:val="0"/>
          <w:marBottom w:val="0"/>
          <w:divBdr>
            <w:top w:val="none" w:sz="0" w:space="0" w:color="auto"/>
            <w:left w:val="none" w:sz="0" w:space="0" w:color="auto"/>
            <w:bottom w:val="none" w:sz="0" w:space="0" w:color="auto"/>
            <w:right w:val="none" w:sz="0" w:space="0" w:color="auto"/>
          </w:divBdr>
          <w:divsChild>
            <w:div w:id="1848252368">
              <w:marLeft w:val="0"/>
              <w:marRight w:val="0"/>
              <w:marTop w:val="0"/>
              <w:marBottom w:val="0"/>
              <w:divBdr>
                <w:top w:val="none" w:sz="0" w:space="0" w:color="auto"/>
                <w:left w:val="none" w:sz="0" w:space="0" w:color="auto"/>
                <w:bottom w:val="none" w:sz="0" w:space="0" w:color="auto"/>
                <w:right w:val="none" w:sz="0" w:space="0" w:color="auto"/>
              </w:divBdr>
              <w:divsChild>
                <w:div w:id="9755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3730">
      <w:bodyDiv w:val="1"/>
      <w:marLeft w:val="0"/>
      <w:marRight w:val="0"/>
      <w:marTop w:val="0"/>
      <w:marBottom w:val="0"/>
      <w:divBdr>
        <w:top w:val="none" w:sz="0" w:space="0" w:color="auto"/>
        <w:left w:val="none" w:sz="0" w:space="0" w:color="auto"/>
        <w:bottom w:val="none" w:sz="0" w:space="0" w:color="auto"/>
        <w:right w:val="none" w:sz="0" w:space="0" w:color="auto"/>
      </w:divBdr>
    </w:div>
    <w:div w:id="1060399066">
      <w:bodyDiv w:val="1"/>
      <w:marLeft w:val="0"/>
      <w:marRight w:val="0"/>
      <w:marTop w:val="0"/>
      <w:marBottom w:val="0"/>
      <w:divBdr>
        <w:top w:val="none" w:sz="0" w:space="0" w:color="auto"/>
        <w:left w:val="none" w:sz="0" w:space="0" w:color="auto"/>
        <w:bottom w:val="none" w:sz="0" w:space="0" w:color="auto"/>
        <w:right w:val="none" w:sz="0" w:space="0" w:color="auto"/>
      </w:divBdr>
    </w:div>
    <w:div w:id="1136802633">
      <w:bodyDiv w:val="1"/>
      <w:marLeft w:val="0"/>
      <w:marRight w:val="0"/>
      <w:marTop w:val="0"/>
      <w:marBottom w:val="0"/>
      <w:divBdr>
        <w:top w:val="none" w:sz="0" w:space="0" w:color="auto"/>
        <w:left w:val="none" w:sz="0" w:space="0" w:color="auto"/>
        <w:bottom w:val="none" w:sz="0" w:space="0" w:color="auto"/>
        <w:right w:val="none" w:sz="0" w:space="0" w:color="auto"/>
      </w:divBdr>
    </w:div>
    <w:div w:id="1226991090">
      <w:bodyDiv w:val="1"/>
      <w:marLeft w:val="0"/>
      <w:marRight w:val="0"/>
      <w:marTop w:val="0"/>
      <w:marBottom w:val="0"/>
      <w:divBdr>
        <w:top w:val="none" w:sz="0" w:space="0" w:color="auto"/>
        <w:left w:val="none" w:sz="0" w:space="0" w:color="auto"/>
        <w:bottom w:val="none" w:sz="0" w:space="0" w:color="auto"/>
        <w:right w:val="none" w:sz="0" w:space="0" w:color="auto"/>
      </w:divBdr>
    </w:div>
    <w:div w:id="1298561841">
      <w:bodyDiv w:val="1"/>
      <w:marLeft w:val="0"/>
      <w:marRight w:val="0"/>
      <w:marTop w:val="0"/>
      <w:marBottom w:val="0"/>
      <w:divBdr>
        <w:top w:val="none" w:sz="0" w:space="0" w:color="auto"/>
        <w:left w:val="none" w:sz="0" w:space="0" w:color="auto"/>
        <w:bottom w:val="none" w:sz="0" w:space="0" w:color="auto"/>
        <w:right w:val="none" w:sz="0" w:space="0" w:color="auto"/>
      </w:divBdr>
      <w:divsChild>
        <w:div w:id="216471963">
          <w:marLeft w:val="0"/>
          <w:marRight w:val="0"/>
          <w:marTop w:val="0"/>
          <w:marBottom w:val="0"/>
          <w:divBdr>
            <w:top w:val="none" w:sz="0" w:space="0" w:color="auto"/>
            <w:left w:val="none" w:sz="0" w:space="0" w:color="auto"/>
            <w:bottom w:val="none" w:sz="0" w:space="0" w:color="auto"/>
            <w:right w:val="none" w:sz="0" w:space="0" w:color="auto"/>
          </w:divBdr>
          <w:divsChild>
            <w:div w:id="1210924140">
              <w:marLeft w:val="0"/>
              <w:marRight w:val="0"/>
              <w:marTop w:val="0"/>
              <w:marBottom w:val="0"/>
              <w:divBdr>
                <w:top w:val="none" w:sz="0" w:space="0" w:color="auto"/>
                <w:left w:val="none" w:sz="0" w:space="0" w:color="auto"/>
                <w:bottom w:val="none" w:sz="0" w:space="0" w:color="auto"/>
                <w:right w:val="none" w:sz="0" w:space="0" w:color="auto"/>
              </w:divBdr>
              <w:divsChild>
                <w:div w:id="1840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01664">
      <w:bodyDiv w:val="1"/>
      <w:marLeft w:val="0"/>
      <w:marRight w:val="0"/>
      <w:marTop w:val="0"/>
      <w:marBottom w:val="0"/>
      <w:divBdr>
        <w:top w:val="none" w:sz="0" w:space="0" w:color="auto"/>
        <w:left w:val="none" w:sz="0" w:space="0" w:color="auto"/>
        <w:bottom w:val="none" w:sz="0" w:space="0" w:color="auto"/>
        <w:right w:val="none" w:sz="0" w:space="0" w:color="auto"/>
      </w:divBdr>
      <w:divsChild>
        <w:div w:id="642079095">
          <w:marLeft w:val="0"/>
          <w:marRight w:val="0"/>
          <w:marTop w:val="0"/>
          <w:marBottom w:val="0"/>
          <w:divBdr>
            <w:top w:val="none" w:sz="0" w:space="0" w:color="auto"/>
            <w:left w:val="none" w:sz="0" w:space="0" w:color="auto"/>
            <w:bottom w:val="none" w:sz="0" w:space="0" w:color="auto"/>
            <w:right w:val="none" w:sz="0" w:space="0" w:color="auto"/>
          </w:divBdr>
          <w:divsChild>
            <w:div w:id="942419689">
              <w:marLeft w:val="0"/>
              <w:marRight w:val="0"/>
              <w:marTop w:val="0"/>
              <w:marBottom w:val="0"/>
              <w:divBdr>
                <w:top w:val="none" w:sz="0" w:space="0" w:color="auto"/>
                <w:left w:val="none" w:sz="0" w:space="0" w:color="auto"/>
                <w:bottom w:val="none" w:sz="0" w:space="0" w:color="auto"/>
                <w:right w:val="none" w:sz="0" w:space="0" w:color="auto"/>
              </w:divBdr>
              <w:divsChild>
                <w:div w:id="2097238370">
                  <w:marLeft w:val="0"/>
                  <w:marRight w:val="0"/>
                  <w:marTop w:val="0"/>
                  <w:marBottom w:val="0"/>
                  <w:divBdr>
                    <w:top w:val="none" w:sz="0" w:space="0" w:color="auto"/>
                    <w:left w:val="none" w:sz="0" w:space="0" w:color="auto"/>
                    <w:bottom w:val="none" w:sz="0" w:space="0" w:color="auto"/>
                    <w:right w:val="none" w:sz="0" w:space="0" w:color="auto"/>
                  </w:divBdr>
                  <w:divsChild>
                    <w:div w:id="591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56866">
      <w:bodyDiv w:val="1"/>
      <w:marLeft w:val="0"/>
      <w:marRight w:val="0"/>
      <w:marTop w:val="0"/>
      <w:marBottom w:val="0"/>
      <w:divBdr>
        <w:top w:val="none" w:sz="0" w:space="0" w:color="auto"/>
        <w:left w:val="none" w:sz="0" w:space="0" w:color="auto"/>
        <w:bottom w:val="none" w:sz="0" w:space="0" w:color="auto"/>
        <w:right w:val="none" w:sz="0" w:space="0" w:color="auto"/>
      </w:divBdr>
    </w:div>
    <w:div w:id="1443645608">
      <w:bodyDiv w:val="1"/>
      <w:marLeft w:val="0"/>
      <w:marRight w:val="0"/>
      <w:marTop w:val="0"/>
      <w:marBottom w:val="0"/>
      <w:divBdr>
        <w:top w:val="none" w:sz="0" w:space="0" w:color="auto"/>
        <w:left w:val="none" w:sz="0" w:space="0" w:color="auto"/>
        <w:bottom w:val="none" w:sz="0" w:space="0" w:color="auto"/>
        <w:right w:val="none" w:sz="0" w:space="0" w:color="auto"/>
      </w:divBdr>
    </w:div>
    <w:div w:id="1529222550">
      <w:bodyDiv w:val="1"/>
      <w:marLeft w:val="0"/>
      <w:marRight w:val="0"/>
      <w:marTop w:val="0"/>
      <w:marBottom w:val="0"/>
      <w:divBdr>
        <w:top w:val="none" w:sz="0" w:space="0" w:color="auto"/>
        <w:left w:val="none" w:sz="0" w:space="0" w:color="auto"/>
        <w:bottom w:val="none" w:sz="0" w:space="0" w:color="auto"/>
        <w:right w:val="none" w:sz="0" w:space="0" w:color="auto"/>
      </w:divBdr>
    </w:div>
    <w:div w:id="1538202693">
      <w:bodyDiv w:val="1"/>
      <w:marLeft w:val="0"/>
      <w:marRight w:val="0"/>
      <w:marTop w:val="0"/>
      <w:marBottom w:val="0"/>
      <w:divBdr>
        <w:top w:val="none" w:sz="0" w:space="0" w:color="auto"/>
        <w:left w:val="none" w:sz="0" w:space="0" w:color="auto"/>
        <w:bottom w:val="none" w:sz="0" w:space="0" w:color="auto"/>
        <w:right w:val="none" w:sz="0" w:space="0" w:color="auto"/>
      </w:divBdr>
    </w:div>
    <w:div w:id="1554997084">
      <w:bodyDiv w:val="1"/>
      <w:marLeft w:val="0"/>
      <w:marRight w:val="0"/>
      <w:marTop w:val="0"/>
      <w:marBottom w:val="0"/>
      <w:divBdr>
        <w:top w:val="none" w:sz="0" w:space="0" w:color="auto"/>
        <w:left w:val="none" w:sz="0" w:space="0" w:color="auto"/>
        <w:bottom w:val="none" w:sz="0" w:space="0" w:color="auto"/>
        <w:right w:val="none" w:sz="0" w:space="0" w:color="auto"/>
      </w:divBdr>
      <w:divsChild>
        <w:div w:id="1155729337">
          <w:marLeft w:val="0"/>
          <w:marRight w:val="0"/>
          <w:marTop w:val="0"/>
          <w:marBottom w:val="0"/>
          <w:divBdr>
            <w:top w:val="none" w:sz="0" w:space="0" w:color="auto"/>
            <w:left w:val="none" w:sz="0" w:space="0" w:color="auto"/>
            <w:bottom w:val="none" w:sz="0" w:space="0" w:color="auto"/>
            <w:right w:val="none" w:sz="0" w:space="0" w:color="auto"/>
          </w:divBdr>
          <w:divsChild>
            <w:div w:id="352732814">
              <w:marLeft w:val="0"/>
              <w:marRight w:val="0"/>
              <w:marTop w:val="0"/>
              <w:marBottom w:val="0"/>
              <w:divBdr>
                <w:top w:val="none" w:sz="0" w:space="0" w:color="auto"/>
                <w:left w:val="none" w:sz="0" w:space="0" w:color="auto"/>
                <w:bottom w:val="none" w:sz="0" w:space="0" w:color="auto"/>
                <w:right w:val="none" w:sz="0" w:space="0" w:color="auto"/>
              </w:divBdr>
              <w:divsChild>
                <w:div w:id="145047947">
                  <w:marLeft w:val="0"/>
                  <w:marRight w:val="0"/>
                  <w:marTop w:val="0"/>
                  <w:marBottom w:val="0"/>
                  <w:divBdr>
                    <w:top w:val="none" w:sz="0" w:space="0" w:color="auto"/>
                    <w:left w:val="none" w:sz="0" w:space="0" w:color="auto"/>
                    <w:bottom w:val="none" w:sz="0" w:space="0" w:color="auto"/>
                    <w:right w:val="none" w:sz="0" w:space="0" w:color="auto"/>
                  </w:divBdr>
                  <w:divsChild>
                    <w:div w:id="663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0870">
      <w:bodyDiv w:val="1"/>
      <w:marLeft w:val="0"/>
      <w:marRight w:val="0"/>
      <w:marTop w:val="0"/>
      <w:marBottom w:val="0"/>
      <w:divBdr>
        <w:top w:val="none" w:sz="0" w:space="0" w:color="auto"/>
        <w:left w:val="none" w:sz="0" w:space="0" w:color="auto"/>
        <w:bottom w:val="none" w:sz="0" w:space="0" w:color="auto"/>
        <w:right w:val="none" w:sz="0" w:space="0" w:color="auto"/>
      </w:divBdr>
      <w:divsChild>
        <w:div w:id="24869492">
          <w:marLeft w:val="0"/>
          <w:marRight w:val="0"/>
          <w:marTop w:val="0"/>
          <w:marBottom w:val="0"/>
          <w:divBdr>
            <w:top w:val="none" w:sz="0" w:space="0" w:color="auto"/>
            <w:left w:val="none" w:sz="0" w:space="0" w:color="auto"/>
            <w:bottom w:val="none" w:sz="0" w:space="0" w:color="auto"/>
            <w:right w:val="none" w:sz="0" w:space="0" w:color="auto"/>
          </w:divBdr>
          <w:divsChild>
            <w:div w:id="996106430">
              <w:marLeft w:val="0"/>
              <w:marRight w:val="0"/>
              <w:marTop w:val="0"/>
              <w:marBottom w:val="0"/>
              <w:divBdr>
                <w:top w:val="none" w:sz="0" w:space="0" w:color="auto"/>
                <w:left w:val="none" w:sz="0" w:space="0" w:color="auto"/>
                <w:bottom w:val="none" w:sz="0" w:space="0" w:color="auto"/>
                <w:right w:val="none" w:sz="0" w:space="0" w:color="auto"/>
              </w:divBdr>
              <w:divsChild>
                <w:div w:id="12455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7990">
      <w:bodyDiv w:val="1"/>
      <w:marLeft w:val="0"/>
      <w:marRight w:val="0"/>
      <w:marTop w:val="0"/>
      <w:marBottom w:val="0"/>
      <w:divBdr>
        <w:top w:val="none" w:sz="0" w:space="0" w:color="auto"/>
        <w:left w:val="none" w:sz="0" w:space="0" w:color="auto"/>
        <w:bottom w:val="none" w:sz="0" w:space="0" w:color="auto"/>
        <w:right w:val="none" w:sz="0" w:space="0" w:color="auto"/>
      </w:divBdr>
    </w:div>
    <w:div w:id="1587499685">
      <w:bodyDiv w:val="1"/>
      <w:marLeft w:val="0"/>
      <w:marRight w:val="0"/>
      <w:marTop w:val="0"/>
      <w:marBottom w:val="0"/>
      <w:divBdr>
        <w:top w:val="none" w:sz="0" w:space="0" w:color="auto"/>
        <w:left w:val="none" w:sz="0" w:space="0" w:color="auto"/>
        <w:bottom w:val="none" w:sz="0" w:space="0" w:color="auto"/>
        <w:right w:val="none" w:sz="0" w:space="0" w:color="auto"/>
      </w:divBdr>
      <w:divsChild>
        <w:div w:id="553086723">
          <w:marLeft w:val="0"/>
          <w:marRight w:val="0"/>
          <w:marTop w:val="0"/>
          <w:marBottom w:val="0"/>
          <w:divBdr>
            <w:top w:val="none" w:sz="0" w:space="0" w:color="auto"/>
            <w:left w:val="none" w:sz="0" w:space="0" w:color="auto"/>
            <w:bottom w:val="none" w:sz="0" w:space="0" w:color="auto"/>
            <w:right w:val="none" w:sz="0" w:space="0" w:color="auto"/>
          </w:divBdr>
          <w:divsChild>
            <w:div w:id="978615125">
              <w:marLeft w:val="0"/>
              <w:marRight w:val="0"/>
              <w:marTop w:val="0"/>
              <w:marBottom w:val="0"/>
              <w:divBdr>
                <w:top w:val="none" w:sz="0" w:space="0" w:color="auto"/>
                <w:left w:val="none" w:sz="0" w:space="0" w:color="auto"/>
                <w:bottom w:val="none" w:sz="0" w:space="0" w:color="auto"/>
                <w:right w:val="none" w:sz="0" w:space="0" w:color="auto"/>
              </w:divBdr>
              <w:divsChild>
                <w:div w:id="533423076">
                  <w:marLeft w:val="0"/>
                  <w:marRight w:val="0"/>
                  <w:marTop w:val="0"/>
                  <w:marBottom w:val="0"/>
                  <w:divBdr>
                    <w:top w:val="none" w:sz="0" w:space="0" w:color="auto"/>
                    <w:left w:val="none" w:sz="0" w:space="0" w:color="auto"/>
                    <w:bottom w:val="none" w:sz="0" w:space="0" w:color="auto"/>
                    <w:right w:val="none" w:sz="0" w:space="0" w:color="auto"/>
                  </w:divBdr>
                  <w:divsChild>
                    <w:div w:id="1800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4563">
      <w:bodyDiv w:val="1"/>
      <w:marLeft w:val="0"/>
      <w:marRight w:val="0"/>
      <w:marTop w:val="0"/>
      <w:marBottom w:val="0"/>
      <w:divBdr>
        <w:top w:val="none" w:sz="0" w:space="0" w:color="auto"/>
        <w:left w:val="none" w:sz="0" w:space="0" w:color="auto"/>
        <w:bottom w:val="none" w:sz="0" w:space="0" w:color="auto"/>
        <w:right w:val="none" w:sz="0" w:space="0" w:color="auto"/>
      </w:divBdr>
    </w:div>
    <w:div w:id="1718814945">
      <w:bodyDiv w:val="1"/>
      <w:marLeft w:val="0"/>
      <w:marRight w:val="0"/>
      <w:marTop w:val="0"/>
      <w:marBottom w:val="0"/>
      <w:divBdr>
        <w:top w:val="none" w:sz="0" w:space="0" w:color="auto"/>
        <w:left w:val="none" w:sz="0" w:space="0" w:color="auto"/>
        <w:bottom w:val="none" w:sz="0" w:space="0" w:color="auto"/>
        <w:right w:val="none" w:sz="0" w:space="0" w:color="auto"/>
      </w:divBdr>
    </w:div>
    <w:div w:id="1734621377">
      <w:bodyDiv w:val="1"/>
      <w:marLeft w:val="0"/>
      <w:marRight w:val="0"/>
      <w:marTop w:val="0"/>
      <w:marBottom w:val="0"/>
      <w:divBdr>
        <w:top w:val="none" w:sz="0" w:space="0" w:color="auto"/>
        <w:left w:val="none" w:sz="0" w:space="0" w:color="auto"/>
        <w:bottom w:val="none" w:sz="0" w:space="0" w:color="auto"/>
        <w:right w:val="none" w:sz="0" w:space="0" w:color="auto"/>
      </w:divBdr>
    </w:div>
    <w:div w:id="1735203063">
      <w:bodyDiv w:val="1"/>
      <w:marLeft w:val="0"/>
      <w:marRight w:val="0"/>
      <w:marTop w:val="0"/>
      <w:marBottom w:val="0"/>
      <w:divBdr>
        <w:top w:val="none" w:sz="0" w:space="0" w:color="auto"/>
        <w:left w:val="none" w:sz="0" w:space="0" w:color="auto"/>
        <w:bottom w:val="none" w:sz="0" w:space="0" w:color="auto"/>
        <w:right w:val="none" w:sz="0" w:space="0" w:color="auto"/>
      </w:divBdr>
    </w:div>
    <w:div w:id="1747150474">
      <w:bodyDiv w:val="1"/>
      <w:marLeft w:val="0"/>
      <w:marRight w:val="0"/>
      <w:marTop w:val="0"/>
      <w:marBottom w:val="0"/>
      <w:divBdr>
        <w:top w:val="none" w:sz="0" w:space="0" w:color="auto"/>
        <w:left w:val="none" w:sz="0" w:space="0" w:color="auto"/>
        <w:bottom w:val="none" w:sz="0" w:space="0" w:color="auto"/>
        <w:right w:val="none" w:sz="0" w:space="0" w:color="auto"/>
      </w:divBdr>
      <w:divsChild>
        <w:div w:id="1147819220">
          <w:marLeft w:val="0"/>
          <w:marRight w:val="0"/>
          <w:marTop w:val="72"/>
          <w:marBottom w:val="0"/>
          <w:divBdr>
            <w:top w:val="none" w:sz="0" w:space="0" w:color="auto"/>
            <w:left w:val="none" w:sz="0" w:space="0" w:color="auto"/>
            <w:bottom w:val="none" w:sz="0" w:space="0" w:color="auto"/>
            <w:right w:val="none" w:sz="0" w:space="0" w:color="auto"/>
          </w:divBdr>
        </w:div>
      </w:divsChild>
    </w:div>
    <w:div w:id="1800568663">
      <w:bodyDiv w:val="1"/>
      <w:marLeft w:val="0"/>
      <w:marRight w:val="0"/>
      <w:marTop w:val="0"/>
      <w:marBottom w:val="0"/>
      <w:divBdr>
        <w:top w:val="none" w:sz="0" w:space="0" w:color="auto"/>
        <w:left w:val="none" w:sz="0" w:space="0" w:color="auto"/>
        <w:bottom w:val="none" w:sz="0" w:space="0" w:color="auto"/>
        <w:right w:val="none" w:sz="0" w:space="0" w:color="auto"/>
      </w:divBdr>
    </w:div>
    <w:div w:id="1823423071">
      <w:bodyDiv w:val="1"/>
      <w:marLeft w:val="0"/>
      <w:marRight w:val="0"/>
      <w:marTop w:val="0"/>
      <w:marBottom w:val="0"/>
      <w:divBdr>
        <w:top w:val="none" w:sz="0" w:space="0" w:color="auto"/>
        <w:left w:val="none" w:sz="0" w:space="0" w:color="auto"/>
        <w:bottom w:val="none" w:sz="0" w:space="0" w:color="auto"/>
        <w:right w:val="none" w:sz="0" w:space="0" w:color="auto"/>
      </w:divBdr>
    </w:div>
    <w:div w:id="1842087267">
      <w:bodyDiv w:val="1"/>
      <w:marLeft w:val="0"/>
      <w:marRight w:val="0"/>
      <w:marTop w:val="0"/>
      <w:marBottom w:val="0"/>
      <w:divBdr>
        <w:top w:val="none" w:sz="0" w:space="0" w:color="auto"/>
        <w:left w:val="none" w:sz="0" w:space="0" w:color="auto"/>
        <w:bottom w:val="none" w:sz="0" w:space="0" w:color="auto"/>
        <w:right w:val="none" w:sz="0" w:space="0" w:color="auto"/>
      </w:divBdr>
      <w:divsChild>
        <w:div w:id="1463576469">
          <w:marLeft w:val="0"/>
          <w:marRight w:val="0"/>
          <w:marTop w:val="0"/>
          <w:marBottom w:val="0"/>
          <w:divBdr>
            <w:top w:val="none" w:sz="0" w:space="0" w:color="auto"/>
            <w:left w:val="none" w:sz="0" w:space="0" w:color="auto"/>
            <w:bottom w:val="none" w:sz="0" w:space="0" w:color="auto"/>
            <w:right w:val="none" w:sz="0" w:space="0" w:color="auto"/>
          </w:divBdr>
          <w:divsChild>
            <w:div w:id="277374145">
              <w:marLeft w:val="0"/>
              <w:marRight w:val="0"/>
              <w:marTop w:val="0"/>
              <w:marBottom w:val="0"/>
              <w:divBdr>
                <w:top w:val="none" w:sz="0" w:space="0" w:color="auto"/>
                <w:left w:val="none" w:sz="0" w:space="0" w:color="auto"/>
                <w:bottom w:val="none" w:sz="0" w:space="0" w:color="auto"/>
                <w:right w:val="none" w:sz="0" w:space="0" w:color="auto"/>
              </w:divBdr>
              <w:divsChild>
                <w:div w:id="3135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859">
      <w:bodyDiv w:val="1"/>
      <w:marLeft w:val="0"/>
      <w:marRight w:val="0"/>
      <w:marTop w:val="0"/>
      <w:marBottom w:val="0"/>
      <w:divBdr>
        <w:top w:val="none" w:sz="0" w:space="0" w:color="auto"/>
        <w:left w:val="none" w:sz="0" w:space="0" w:color="auto"/>
        <w:bottom w:val="none" w:sz="0" w:space="0" w:color="auto"/>
        <w:right w:val="none" w:sz="0" w:space="0" w:color="auto"/>
      </w:divBdr>
      <w:divsChild>
        <w:div w:id="1412265661">
          <w:marLeft w:val="0"/>
          <w:marRight w:val="0"/>
          <w:marTop w:val="0"/>
          <w:marBottom w:val="0"/>
          <w:divBdr>
            <w:top w:val="none" w:sz="0" w:space="0" w:color="auto"/>
            <w:left w:val="none" w:sz="0" w:space="0" w:color="auto"/>
            <w:bottom w:val="none" w:sz="0" w:space="0" w:color="auto"/>
            <w:right w:val="none" w:sz="0" w:space="0" w:color="auto"/>
          </w:divBdr>
          <w:divsChild>
            <w:div w:id="621616115">
              <w:marLeft w:val="0"/>
              <w:marRight w:val="0"/>
              <w:marTop w:val="0"/>
              <w:marBottom w:val="0"/>
              <w:divBdr>
                <w:top w:val="none" w:sz="0" w:space="0" w:color="auto"/>
                <w:left w:val="none" w:sz="0" w:space="0" w:color="auto"/>
                <w:bottom w:val="none" w:sz="0" w:space="0" w:color="auto"/>
                <w:right w:val="none" w:sz="0" w:space="0" w:color="auto"/>
              </w:divBdr>
              <w:divsChild>
                <w:div w:id="35132328">
                  <w:marLeft w:val="0"/>
                  <w:marRight w:val="0"/>
                  <w:marTop w:val="0"/>
                  <w:marBottom w:val="0"/>
                  <w:divBdr>
                    <w:top w:val="none" w:sz="0" w:space="0" w:color="auto"/>
                    <w:left w:val="none" w:sz="0" w:space="0" w:color="auto"/>
                    <w:bottom w:val="none" w:sz="0" w:space="0" w:color="auto"/>
                    <w:right w:val="none" w:sz="0" w:space="0" w:color="auto"/>
                  </w:divBdr>
                  <w:divsChild>
                    <w:div w:id="20564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43421">
      <w:bodyDiv w:val="1"/>
      <w:marLeft w:val="0"/>
      <w:marRight w:val="0"/>
      <w:marTop w:val="0"/>
      <w:marBottom w:val="0"/>
      <w:divBdr>
        <w:top w:val="none" w:sz="0" w:space="0" w:color="auto"/>
        <w:left w:val="none" w:sz="0" w:space="0" w:color="auto"/>
        <w:bottom w:val="none" w:sz="0" w:space="0" w:color="auto"/>
        <w:right w:val="none" w:sz="0" w:space="0" w:color="auto"/>
      </w:divBdr>
      <w:divsChild>
        <w:div w:id="1023365078">
          <w:marLeft w:val="0"/>
          <w:marRight w:val="0"/>
          <w:marTop w:val="0"/>
          <w:marBottom w:val="0"/>
          <w:divBdr>
            <w:top w:val="none" w:sz="0" w:space="0" w:color="auto"/>
            <w:left w:val="none" w:sz="0" w:space="0" w:color="auto"/>
            <w:bottom w:val="none" w:sz="0" w:space="0" w:color="auto"/>
            <w:right w:val="none" w:sz="0" w:space="0" w:color="auto"/>
          </w:divBdr>
          <w:divsChild>
            <w:div w:id="2144997338">
              <w:marLeft w:val="0"/>
              <w:marRight w:val="0"/>
              <w:marTop w:val="0"/>
              <w:marBottom w:val="0"/>
              <w:divBdr>
                <w:top w:val="none" w:sz="0" w:space="0" w:color="auto"/>
                <w:left w:val="none" w:sz="0" w:space="0" w:color="auto"/>
                <w:bottom w:val="none" w:sz="0" w:space="0" w:color="auto"/>
                <w:right w:val="none" w:sz="0" w:space="0" w:color="auto"/>
              </w:divBdr>
              <w:divsChild>
                <w:div w:id="1281768422">
                  <w:marLeft w:val="0"/>
                  <w:marRight w:val="0"/>
                  <w:marTop w:val="0"/>
                  <w:marBottom w:val="0"/>
                  <w:divBdr>
                    <w:top w:val="none" w:sz="0" w:space="0" w:color="auto"/>
                    <w:left w:val="none" w:sz="0" w:space="0" w:color="auto"/>
                    <w:bottom w:val="none" w:sz="0" w:space="0" w:color="auto"/>
                    <w:right w:val="none" w:sz="0" w:space="0" w:color="auto"/>
                  </w:divBdr>
                  <w:divsChild>
                    <w:div w:id="5688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2492">
      <w:bodyDiv w:val="1"/>
      <w:marLeft w:val="0"/>
      <w:marRight w:val="0"/>
      <w:marTop w:val="0"/>
      <w:marBottom w:val="0"/>
      <w:divBdr>
        <w:top w:val="none" w:sz="0" w:space="0" w:color="auto"/>
        <w:left w:val="none" w:sz="0" w:space="0" w:color="auto"/>
        <w:bottom w:val="none" w:sz="0" w:space="0" w:color="auto"/>
        <w:right w:val="none" w:sz="0" w:space="0" w:color="auto"/>
      </w:divBdr>
    </w:div>
    <w:div w:id="1927423056">
      <w:bodyDiv w:val="1"/>
      <w:marLeft w:val="0"/>
      <w:marRight w:val="0"/>
      <w:marTop w:val="0"/>
      <w:marBottom w:val="0"/>
      <w:divBdr>
        <w:top w:val="none" w:sz="0" w:space="0" w:color="auto"/>
        <w:left w:val="none" w:sz="0" w:space="0" w:color="auto"/>
        <w:bottom w:val="none" w:sz="0" w:space="0" w:color="auto"/>
        <w:right w:val="none" w:sz="0" w:space="0" w:color="auto"/>
      </w:divBdr>
    </w:div>
    <w:div w:id="1930312772">
      <w:bodyDiv w:val="1"/>
      <w:marLeft w:val="0"/>
      <w:marRight w:val="0"/>
      <w:marTop w:val="0"/>
      <w:marBottom w:val="0"/>
      <w:divBdr>
        <w:top w:val="none" w:sz="0" w:space="0" w:color="auto"/>
        <w:left w:val="none" w:sz="0" w:space="0" w:color="auto"/>
        <w:bottom w:val="none" w:sz="0" w:space="0" w:color="auto"/>
        <w:right w:val="none" w:sz="0" w:space="0" w:color="auto"/>
      </w:divBdr>
    </w:div>
    <w:div w:id="1961564988">
      <w:bodyDiv w:val="1"/>
      <w:marLeft w:val="0"/>
      <w:marRight w:val="0"/>
      <w:marTop w:val="0"/>
      <w:marBottom w:val="0"/>
      <w:divBdr>
        <w:top w:val="none" w:sz="0" w:space="0" w:color="auto"/>
        <w:left w:val="none" w:sz="0" w:space="0" w:color="auto"/>
        <w:bottom w:val="none" w:sz="0" w:space="0" w:color="auto"/>
        <w:right w:val="none" w:sz="0" w:space="0" w:color="auto"/>
      </w:divBdr>
    </w:div>
    <w:div w:id="1973749608">
      <w:bodyDiv w:val="1"/>
      <w:marLeft w:val="0"/>
      <w:marRight w:val="0"/>
      <w:marTop w:val="0"/>
      <w:marBottom w:val="0"/>
      <w:divBdr>
        <w:top w:val="none" w:sz="0" w:space="0" w:color="auto"/>
        <w:left w:val="none" w:sz="0" w:space="0" w:color="auto"/>
        <w:bottom w:val="none" w:sz="0" w:space="0" w:color="auto"/>
        <w:right w:val="none" w:sz="0" w:space="0" w:color="auto"/>
      </w:divBdr>
      <w:divsChild>
        <w:div w:id="2041858847">
          <w:marLeft w:val="0"/>
          <w:marRight w:val="0"/>
          <w:marTop w:val="0"/>
          <w:marBottom w:val="0"/>
          <w:divBdr>
            <w:top w:val="none" w:sz="0" w:space="0" w:color="auto"/>
            <w:left w:val="none" w:sz="0" w:space="0" w:color="auto"/>
            <w:bottom w:val="none" w:sz="0" w:space="0" w:color="auto"/>
            <w:right w:val="none" w:sz="0" w:space="0" w:color="auto"/>
          </w:divBdr>
          <w:divsChild>
            <w:div w:id="1833250989">
              <w:marLeft w:val="0"/>
              <w:marRight w:val="0"/>
              <w:marTop w:val="0"/>
              <w:marBottom w:val="0"/>
              <w:divBdr>
                <w:top w:val="none" w:sz="0" w:space="0" w:color="auto"/>
                <w:left w:val="none" w:sz="0" w:space="0" w:color="auto"/>
                <w:bottom w:val="none" w:sz="0" w:space="0" w:color="auto"/>
                <w:right w:val="none" w:sz="0" w:space="0" w:color="auto"/>
              </w:divBdr>
              <w:divsChild>
                <w:div w:id="6979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41898">
      <w:bodyDiv w:val="1"/>
      <w:marLeft w:val="0"/>
      <w:marRight w:val="0"/>
      <w:marTop w:val="0"/>
      <w:marBottom w:val="0"/>
      <w:divBdr>
        <w:top w:val="none" w:sz="0" w:space="0" w:color="auto"/>
        <w:left w:val="none" w:sz="0" w:space="0" w:color="auto"/>
        <w:bottom w:val="none" w:sz="0" w:space="0" w:color="auto"/>
        <w:right w:val="none" w:sz="0" w:space="0" w:color="auto"/>
      </w:divBdr>
    </w:div>
    <w:div w:id="2000108967">
      <w:bodyDiv w:val="1"/>
      <w:marLeft w:val="0"/>
      <w:marRight w:val="0"/>
      <w:marTop w:val="0"/>
      <w:marBottom w:val="0"/>
      <w:divBdr>
        <w:top w:val="none" w:sz="0" w:space="0" w:color="auto"/>
        <w:left w:val="none" w:sz="0" w:space="0" w:color="auto"/>
        <w:bottom w:val="none" w:sz="0" w:space="0" w:color="auto"/>
        <w:right w:val="none" w:sz="0" w:space="0" w:color="auto"/>
      </w:divBdr>
      <w:divsChild>
        <w:div w:id="2044477794">
          <w:marLeft w:val="0"/>
          <w:marRight w:val="0"/>
          <w:marTop w:val="0"/>
          <w:marBottom w:val="0"/>
          <w:divBdr>
            <w:top w:val="none" w:sz="0" w:space="0" w:color="auto"/>
            <w:left w:val="none" w:sz="0" w:space="0" w:color="auto"/>
            <w:bottom w:val="none" w:sz="0" w:space="0" w:color="auto"/>
            <w:right w:val="none" w:sz="0" w:space="0" w:color="auto"/>
          </w:divBdr>
          <w:divsChild>
            <w:div w:id="420493109">
              <w:marLeft w:val="0"/>
              <w:marRight w:val="0"/>
              <w:marTop w:val="0"/>
              <w:marBottom w:val="0"/>
              <w:divBdr>
                <w:top w:val="none" w:sz="0" w:space="0" w:color="auto"/>
                <w:left w:val="none" w:sz="0" w:space="0" w:color="auto"/>
                <w:bottom w:val="none" w:sz="0" w:space="0" w:color="auto"/>
                <w:right w:val="none" w:sz="0" w:space="0" w:color="auto"/>
              </w:divBdr>
              <w:divsChild>
                <w:div w:id="5313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1213">
      <w:bodyDiv w:val="1"/>
      <w:marLeft w:val="0"/>
      <w:marRight w:val="0"/>
      <w:marTop w:val="0"/>
      <w:marBottom w:val="0"/>
      <w:divBdr>
        <w:top w:val="none" w:sz="0" w:space="0" w:color="auto"/>
        <w:left w:val="none" w:sz="0" w:space="0" w:color="auto"/>
        <w:bottom w:val="none" w:sz="0" w:space="0" w:color="auto"/>
        <w:right w:val="none" w:sz="0" w:space="0" w:color="auto"/>
      </w:divBdr>
    </w:div>
    <w:div w:id="2079860554">
      <w:bodyDiv w:val="1"/>
      <w:marLeft w:val="0"/>
      <w:marRight w:val="0"/>
      <w:marTop w:val="0"/>
      <w:marBottom w:val="0"/>
      <w:divBdr>
        <w:top w:val="none" w:sz="0" w:space="0" w:color="auto"/>
        <w:left w:val="none" w:sz="0" w:space="0" w:color="auto"/>
        <w:bottom w:val="none" w:sz="0" w:space="0" w:color="auto"/>
        <w:right w:val="none" w:sz="0" w:space="0" w:color="auto"/>
      </w:divBdr>
    </w:div>
    <w:div w:id="21456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allica.bnf.fr/ark:/12148/bpt6k3501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allica.bnf.fr/ark:/12148/btv1b8608730k/" TargetMode="External"/><Relationship Id="rId17" Type="http://schemas.openxmlformats.org/officeDocument/2006/relationships/hyperlink" Target="http://gallica.bnf.fr/ark:/12148/btv1b84462333/"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gallica.bnf.fr/ark:/12148/btv1b6902221b" TargetMode="External"/><Relationship Id="rId10" Type="http://schemas.openxmlformats.org/officeDocument/2006/relationships/hyperlink" Target="https://gallica.bnf.fr/ark:/12148/btv1b5306368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B0095-545D-0F46-BEB0-FCE05126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40</Pages>
  <Words>20848</Words>
  <Characters>114670</Characters>
  <Application>Microsoft Office Word</Application>
  <DocSecurity>0</DocSecurity>
  <Lines>955</Lines>
  <Paragraphs>270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Nevejans</dc:creator>
  <cp:keywords/>
  <dc:description/>
  <cp:lastModifiedBy>andré loez</cp:lastModifiedBy>
  <cp:revision>520</cp:revision>
  <cp:lastPrinted>2021-07-09T08:45:00Z</cp:lastPrinted>
  <dcterms:created xsi:type="dcterms:W3CDTF">2021-06-29T14:47:00Z</dcterms:created>
  <dcterms:modified xsi:type="dcterms:W3CDTF">2025-07-02T10:28:00Z</dcterms:modified>
</cp:coreProperties>
</file>